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65" w:rsidRDefault="00921E9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II. Rákóczi Ferenc Kárpátaljai Magyar Főiskola</w:t>
      </w:r>
    </w:p>
    <w:p w:rsidR="00074465" w:rsidRDefault="0007446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0"/>
        <w:gridCol w:w="1368"/>
        <w:gridCol w:w="1672"/>
        <w:gridCol w:w="1368"/>
        <w:gridCol w:w="1824"/>
        <w:gridCol w:w="1520"/>
      </w:tblGrid>
      <w:tr w:rsidR="00074465">
        <w:trPr>
          <w:trHeight w:val="1453"/>
        </w:trPr>
        <w:tc>
          <w:tcPr>
            <w:tcW w:w="1819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921E93" w:rsidRDefault="00921E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</w:p>
          <w:p w:rsidR="00074465" w:rsidRDefault="00921E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074465" w:rsidRDefault="000744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5" w:rsidRDefault="000744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nappali, levelező</w:t>
            </w:r>
          </w:p>
        </w:tc>
        <w:tc>
          <w:tcPr>
            <w:tcW w:w="1824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074465" w:rsidRDefault="000744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5" w:rsidRDefault="000744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  <w:shd w:val="clear" w:color="auto" w:fill="auto"/>
          </w:tcPr>
          <w:p w:rsidR="00074465" w:rsidRDefault="000744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4465" w:rsidRDefault="00921E9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7"/>
        <w:gridCol w:w="6346"/>
      </w:tblGrid>
      <w:tr w:rsidR="00074465">
        <w:tc>
          <w:tcPr>
            <w:tcW w:w="3147" w:type="dxa"/>
            <w:shd w:val="clear" w:color="auto" w:fill="D9D9D9" w:themeFill="background1" w:themeFillShade="D9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címe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Humánetológia</w:t>
            </w:r>
            <w:proofErr w:type="spellEnd"/>
          </w:p>
        </w:tc>
      </w:tr>
      <w:tr w:rsidR="00074465">
        <w:tc>
          <w:tcPr>
            <w:tcW w:w="3147" w:type="dxa"/>
            <w:shd w:val="clear" w:color="auto" w:fill="D9D9D9" w:themeFill="background1" w:themeFillShade="D9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Biológia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és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kémia</w:t>
            </w:r>
            <w:proofErr w:type="spellEnd"/>
          </w:p>
        </w:tc>
      </w:tr>
      <w:tr w:rsidR="00074465">
        <w:tc>
          <w:tcPr>
            <w:tcW w:w="3147" w:type="dxa"/>
            <w:shd w:val="clear" w:color="auto" w:fill="D9D9D9" w:themeFill="background1" w:themeFillShade="D9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5" w:type="dxa"/>
            <w:shd w:val="clear" w:color="auto" w:fill="auto"/>
          </w:tcPr>
          <w:p w:rsidR="00074465" w:rsidRPr="00921E93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BSc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MSc</w:t>
            </w:r>
            <w:proofErr w:type="spellEnd"/>
          </w:p>
        </w:tc>
      </w:tr>
      <w:tr w:rsidR="00074465">
        <w:trPr>
          <w:trHeight w:val="1859"/>
        </w:trPr>
        <w:tc>
          <w:tcPr>
            <w:tcW w:w="3147" w:type="dxa"/>
            <w:shd w:val="clear" w:color="auto" w:fill="D9D9D9" w:themeFill="background1" w:themeFillShade="D9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óraszáma (előadás/szeminárium/önálló munka)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Típus (kötelező vagy választható): </w:t>
            </w:r>
            <w:r w:rsidR="002040DA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  <w:bookmarkStart w:id="0" w:name="_GoBack"/>
            <w:bookmarkEnd w:id="0"/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 4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Előadás: 20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Szeminárium/gyakorlat: 10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munka: 90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465">
        <w:tc>
          <w:tcPr>
            <w:tcW w:w="3147" w:type="dxa"/>
            <w:shd w:val="clear" w:color="auto" w:fill="D9D9D9" w:themeFill="background1" w:themeFillShade="D9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Tárgyfelelős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k) (név, tudományos fokozat, tudományos cím, e-mail cím)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Zselicki</w:t>
            </w:r>
            <w:proofErr w:type="spellEnd"/>
            <w:r>
              <w:rPr>
                <w:rFonts w:ascii="Times New Roman" w:hAnsi="Times New Roman"/>
              </w:rPr>
              <w:t xml:space="preserve"> István</w:t>
            </w:r>
          </w:p>
          <w:p w:rsidR="00074465" w:rsidRDefault="002040DA">
            <w:pPr>
              <w:widowControl w:val="0"/>
              <w:spacing w:after="0" w:line="240" w:lineRule="auto"/>
            </w:pPr>
            <w:hyperlink r:id="rId6">
              <w:r w:rsidR="00921E93">
                <w:rPr>
                  <w:rStyle w:val="Internet-hivatkozs"/>
                  <w:rFonts w:ascii="Times New Roman" w:hAnsi="Times New Roman"/>
                </w:rPr>
                <w:t>zselicki.istvan@kmf.org.ua</w:t>
              </w:r>
            </w:hyperlink>
          </w:p>
        </w:tc>
      </w:tr>
      <w:tr w:rsidR="00074465">
        <w:tc>
          <w:tcPr>
            <w:tcW w:w="3147" w:type="dxa"/>
            <w:shd w:val="clear" w:color="auto" w:fill="D9D9D9" w:themeFill="background1" w:themeFillShade="D9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előkövetelményei</w:t>
            </w:r>
            <w:proofErr w:type="spellEnd"/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Biológia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zoológia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élettan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anatómia</w:t>
            </w:r>
            <w:proofErr w:type="spellEnd"/>
          </w:p>
        </w:tc>
      </w:tr>
      <w:tr w:rsidR="00074465">
        <w:trPr>
          <w:trHeight w:val="976"/>
        </w:trPr>
        <w:tc>
          <w:tcPr>
            <w:tcW w:w="3147" w:type="dxa"/>
            <w:shd w:val="clear" w:color="auto" w:fill="D9D9D9" w:themeFill="background1" w:themeFillShade="D9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általános ismertetése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eredményei, főbb témakörei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074465" w:rsidRDefault="00921E9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XIX. század második feléig úgy gondolták, hogy egy „szakadék” van az ember és az állatvilág között, az ember a teremtés koronája, és minden élőlény felett áll, képességei összehasonlíthatatlanul jobbak a többi élőlényénél. Darwin volt az első, aki rámutatott az emberi viselkedés, a társadalom fejlődésének fokozatosságára. A tantárgy az emberi viselkedés megértésével foglalkozik.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Humánetológia tantárgy célja, hogy elsajátítsák a diákok az emberi viselkedést irányító mechanizmusokat és a bennük lejátszódó kognitív folyamatokat.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tantárgy legfontosabb feladata, hogy megismertesse a hallgatókat az emberi viselkedés törvényszerűségeivel és a viselkedést befolyásoló tényezőkkel.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Témakörök: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humánetológia tárgya és feladatai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etológiai módszer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Főemlősök jellemzése. Élet a csoportban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emberszabásúak viselkedése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Csimpánzkultúrák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Szexualitás és párválasztás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Kooperáció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Fajspecifikus</w:t>
            </w:r>
            <w:proofErr w:type="spellEnd"/>
            <w:r>
              <w:rPr>
                <w:rFonts w:ascii="Times New Roman" w:hAnsi="Times New Roman"/>
              </w:rPr>
              <w:t xml:space="preserve"> emberi viselkedésjegyek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humán magatartási komplex korai evolúciója</w:t>
            </w:r>
          </w:p>
          <w:p w:rsidR="00074465" w:rsidRDefault="00921E93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szocialitás</w:t>
            </w:r>
            <w:proofErr w:type="spellEnd"/>
          </w:p>
        </w:tc>
      </w:tr>
      <w:tr w:rsidR="00074465">
        <w:tc>
          <w:tcPr>
            <w:tcW w:w="3147" w:type="dxa"/>
            <w:shd w:val="clear" w:color="auto" w:fill="D9D9D9" w:themeFill="background1" w:themeFillShade="D9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szorgalmi időszak feladatai 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előadásokon való részvétel a tárgyfelelős elvárása a hallgatókkal szemben. 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Egyedi, hallgatóként személyesen feldolgozásra kiadott ökológiai esettanulmányok, téma-dokumentációk elkészítése, előadás tartása, vitakészség felmutatása a megadott témakörben.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vizsgára bocsátás feltételei: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Akinek minden osztályzata legalább elégséges;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Pótolta minden hiányzását;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Kijavította minden elégtelen osztályzatát.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Modulonkénti számonkérés: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Minden modulért a diák modulzáró osztályzatot kap. Ennek kiállítása történhet zárthelyi dolgozat (ZH) és szóbeli feleltetés, valamint egyéni ellenőrző feladatok (a levelező képzésben </w:t>
            </w:r>
            <w:proofErr w:type="gramStart"/>
            <w:r>
              <w:rPr>
                <w:rFonts w:ascii="Times New Roman" w:hAnsi="Times New Roman"/>
              </w:rPr>
              <w:t>résztvevő hallgatók</w:t>
            </w:r>
            <w:proofErr w:type="gramEnd"/>
            <w:r>
              <w:rPr>
                <w:rFonts w:ascii="Times New Roman" w:hAnsi="Times New Roman"/>
              </w:rPr>
              <w:t xml:space="preserve"> esetében) alapján. </w:t>
            </w:r>
          </w:p>
        </w:tc>
      </w:tr>
      <w:tr w:rsidR="00074465">
        <w:tc>
          <w:tcPr>
            <w:tcW w:w="3147" w:type="dxa"/>
            <w:shd w:val="clear" w:color="auto" w:fill="D9D9D9" w:themeFill="background1" w:themeFillShade="D9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Amennyiben a hallgató a vizsgára bocsátást az előírt határidőig nem szerzi meg, a tanár feljegyzése nyomán hozott tanszéki határozat alapján – utóvizsga jelleggel – még egy lehetőséget kaphat a pótlásra. Ha a tantárgy vizsgával vagy minősített beszámolóval zárul, a félévi osztályzat egyúttal félév lezárását is jelentheti, és be lehet számítani a vizsgán.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lang w:val="uk-UA"/>
              </w:rPr>
              <w:t>félév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végi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vizsgáztatás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szóban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történik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lang w:val="uk-UA"/>
              </w:rPr>
              <w:t>hallgatókkal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előzetesen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megismertetett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témakörök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alapján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Ha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uk-UA"/>
              </w:rPr>
              <w:t>tanszék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úgy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döntött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uk-UA"/>
              </w:rPr>
              <w:t>beszámoló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uk-UA"/>
              </w:rPr>
              <w:t>beírás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lang w:val="uk-UA"/>
              </w:rPr>
              <w:t>történhet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lang w:val="uk-UA"/>
              </w:rPr>
              <w:t>félévi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osztályzat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uk-UA"/>
              </w:rPr>
              <w:t>Modulonkénti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számonkérés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lang w:val="uk-UA"/>
              </w:rPr>
              <w:t>alapján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</w:t>
            </w:r>
          </w:p>
        </w:tc>
      </w:tr>
      <w:tr w:rsidR="00074465">
        <w:tc>
          <w:tcPr>
            <w:tcW w:w="3147" w:type="dxa"/>
            <w:shd w:val="clear" w:color="auto" w:fill="D9D9D9" w:themeFill="background1" w:themeFillShade="D9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74465" w:rsidRDefault="000744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  <w:shd w:val="clear" w:color="auto" w:fill="auto"/>
          </w:tcPr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Ананьев</w:t>
            </w:r>
            <w:proofErr w:type="spellEnd"/>
            <w:r>
              <w:rPr>
                <w:rFonts w:ascii="Times New Roman" w:hAnsi="Times New Roman"/>
              </w:rPr>
              <w:t xml:space="preserve"> Б.Г.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предмет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познание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Санкт-Петербург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Питер</w:t>
            </w:r>
            <w:proofErr w:type="spellEnd"/>
            <w:r>
              <w:rPr>
                <w:rFonts w:ascii="Times New Roman" w:hAnsi="Times New Roman"/>
              </w:rPr>
              <w:t>, 2001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Bárdos György Pszicho-vegetatív kölcsönhatások – Budapest: </w:t>
            </w:r>
            <w:proofErr w:type="spellStart"/>
            <w:r>
              <w:rPr>
                <w:rFonts w:ascii="Times New Roman" w:hAnsi="Times New Roman"/>
              </w:rPr>
              <w:t>Scolar</w:t>
            </w:r>
            <w:proofErr w:type="spellEnd"/>
            <w:r>
              <w:rPr>
                <w:rFonts w:ascii="Times New Roman" w:hAnsi="Times New Roman"/>
              </w:rPr>
              <w:t>, 2003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Csányi Vilmos Etológia – Budapest: Nemzeti </w:t>
            </w:r>
            <w:proofErr w:type="spellStart"/>
            <w:r>
              <w:rPr>
                <w:rFonts w:ascii="Times New Roman" w:hAnsi="Times New Roman"/>
              </w:rPr>
              <w:t>tankönykiadó</w:t>
            </w:r>
            <w:proofErr w:type="spellEnd"/>
            <w:r>
              <w:rPr>
                <w:rFonts w:ascii="Times New Roman" w:hAnsi="Times New Roman"/>
              </w:rPr>
              <w:t>, 2002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Csányi Vilmos Humánetológia – Budapest: Nemzeti </w:t>
            </w:r>
            <w:proofErr w:type="spellStart"/>
            <w:r>
              <w:rPr>
                <w:rFonts w:ascii="Times New Roman" w:hAnsi="Times New Roman"/>
              </w:rPr>
              <w:t>tankönykiadó</w:t>
            </w:r>
            <w:proofErr w:type="spellEnd"/>
            <w:r>
              <w:rPr>
                <w:rFonts w:ascii="Times New Roman" w:hAnsi="Times New Roman"/>
              </w:rPr>
              <w:t>, 2002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Lorenz Konrad </w:t>
            </w: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 tükör hátoldala – Budapest: </w:t>
            </w:r>
            <w:proofErr w:type="spellStart"/>
            <w:r>
              <w:rPr>
                <w:rFonts w:ascii="Times New Roman" w:hAnsi="Times New Roman"/>
              </w:rPr>
              <w:t>Cartafilus</w:t>
            </w:r>
            <w:proofErr w:type="spellEnd"/>
            <w:r>
              <w:rPr>
                <w:rFonts w:ascii="Times New Roman" w:hAnsi="Times New Roman"/>
              </w:rPr>
              <w:t>, 2000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Lorenz Konrad Ember voltunk hanyatlása – Budapest: </w:t>
            </w:r>
            <w:proofErr w:type="spellStart"/>
            <w:r>
              <w:rPr>
                <w:rFonts w:ascii="Times New Roman" w:hAnsi="Times New Roman"/>
              </w:rPr>
              <w:t>Cartaphilus</w:t>
            </w:r>
            <w:proofErr w:type="spellEnd"/>
            <w:r>
              <w:rPr>
                <w:rFonts w:ascii="Times New Roman" w:hAnsi="Times New Roman"/>
              </w:rPr>
              <w:t>, 2002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Lorenz Konrad Salamon király gyűrűje – Budapest: </w:t>
            </w:r>
            <w:proofErr w:type="spellStart"/>
            <w:r>
              <w:rPr>
                <w:rFonts w:ascii="Times New Roman" w:hAnsi="Times New Roman"/>
              </w:rPr>
              <w:t>Cartaphilus</w:t>
            </w:r>
            <w:proofErr w:type="spellEnd"/>
            <w:r>
              <w:rPr>
                <w:rFonts w:ascii="Times New Roman" w:hAnsi="Times New Roman"/>
              </w:rPr>
              <w:t>, 2002</w:t>
            </w:r>
          </w:p>
          <w:p w:rsidR="00074465" w:rsidRDefault="00921E9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Lorenz Konrad </w:t>
            </w:r>
            <w:proofErr w:type="gramStart"/>
            <w:r>
              <w:rPr>
                <w:rFonts w:ascii="Times New Roman" w:hAnsi="Times New Roman"/>
              </w:rPr>
              <w:t>Agresszió  –</w:t>
            </w:r>
            <w:proofErr w:type="gramEnd"/>
            <w:r>
              <w:rPr>
                <w:rFonts w:ascii="Times New Roman" w:hAnsi="Times New Roman"/>
              </w:rPr>
              <w:t xml:space="preserve"> Budapest: </w:t>
            </w:r>
            <w:proofErr w:type="spellStart"/>
            <w:r>
              <w:rPr>
                <w:rFonts w:ascii="Times New Roman" w:hAnsi="Times New Roman"/>
              </w:rPr>
              <w:t>Cartaphilus</w:t>
            </w:r>
            <w:proofErr w:type="spellEnd"/>
            <w:r>
              <w:rPr>
                <w:rFonts w:ascii="Times New Roman" w:hAnsi="Times New Roman"/>
              </w:rPr>
              <w:t>, 2002</w:t>
            </w:r>
          </w:p>
        </w:tc>
      </w:tr>
    </w:tbl>
    <w:p w:rsidR="00074465" w:rsidRDefault="00074465">
      <w:pPr>
        <w:rPr>
          <w:rFonts w:ascii="Times New Roman" w:hAnsi="Times New Roman"/>
        </w:rPr>
      </w:pPr>
    </w:p>
    <w:sectPr w:rsidR="00074465">
      <w:pgSz w:w="11906" w:h="16838"/>
      <w:pgMar w:top="56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65"/>
    <w:rsid w:val="00074465"/>
    <w:rsid w:val="002040DA"/>
    <w:rsid w:val="009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ascii="Symbol" w:hAnsi="Symbol" w:cs="Symbol"/>
      <w:szCs w:val="28"/>
      <w:lang w:val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numbering" w:customStyle="1" w:styleId="WW8Num9">
    <w:name w:val="WW8Num9"/>
    <w:qFormat/>
  </w:style>
  <w:style w:type="numbering" w:customStyle="1" w:styleId="WW8Num14">
    <w:name w:val="WW8Num14"/>
    <w:qFormat/>
  </w:style>
  <w:style w:type="numbering" w:customStyle="1" w:styleId="WW8Num11">
    <w:name w:val="WW8Num11"/>
    <w:qFormat/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ascii="Symbol" w:hAnsi="Symbol" w:cs="Symbol"/>
      <w:szCs w:val="28"/>
      <w:lang w:val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numbering" w:customStyle="1" w:styleId="WW8Num9">
    <w:name w:val="WW8Num9"/>
    <w:qFormat/>
  </w:style>
  <w:style w:type="numbering" w:customStyle="1" w:styleId="WW8Num14">
    <w:name w:val="WW8Num14"/>
    <w:qFormat/>
  </w:style>
  <w:style w:type="numbering" w:customStyle="1" w:styleId="WW8Num11">
    <w:name w:val="WW8Num11"/>
    <w:qFormat/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elicki.istvan@kmf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E01C-C71D-4B0E-8690-37E74A19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Windows-felhasználó</cp:lastModifiedBy>
  <cp:revision>3</cp:revision>
  <dcterms:created xsi:type="dcterms:W3CDTF">2021-08-31T11:19:00Z</dcterms:created>
  <dcterms:modified xsi:type="dcterms:W3CDTF">2021-08-31T11:22:00Z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