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SILLABUSZ</w:t>
      </w:r>
    </w:p>
    <w:p w:rsidR="00000000" w:rsidDel="00000000" w:rsidP="00000000" w:rsidRDefault="00000000" w:rsidRPr="00000000" w14:paraId="00000002">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TANTÁRGYBÓL</w:t>
      </w:r>
    </w:p>
    <w:p w:rsidR="00000000" w:rsidDel="00000000" w:rsidP="00000000" w:rsidRDefault="00000000" w:rsidRPr="00000000" w14:paraId="00000003">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HALLGATÓK KUTATÓMUNKÁJA"</w:t>
      </w:r>
    </w:p>
    <w:p w:rsidR="00000000" w:rsidDel="00000000" w:rsidP="00000000" w:rsidRDefault="00000000" w:rsidRPr="00000000" w14:paraId="00000004">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TANÁR</w:t>
      </w:r>
    </w:p>
    <w:p w:rsidR="00000000" w:rsidDel="00000000" w:rsidP="00000000" w:rsidRDefault="00000000" w:rsidRPr="00000000" w14:paraId="00000006">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6345.0" w:type="dxa"/>
        <w:jc w:val="left"/>
        <w:tblInd w:w="0.0" w:type="dxa"/>
        <w:tblLayout w:type="fixed"/>
        <w:tblLook w:val="0400"/>
      </w:tblPr>
      <w:tblGrid>
        <w:gridCol w:w="6345"/>
        <w:tblGridChange w:id="0">
          <w:tblGrid>
            <w:gridCol w:w="634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Zsiguc</w:t>
            </w:r>
            <w:r w:rsidDel="00000000" w:rsidR="00000000" w:rsidRPr="00000000">
              <w:rPr>
                <w:rFonts w:ascii="Times New Roman" w:cs="Times New Roman" w:eastAsia="Times New Roman" w:hAnsi="Times New Roman"/>
                <w:b w:val="1"/>
                <w:color w:val="000000"/>
                <w:sz w:val="28"/>
                <w:szCs w:val="28"/>
                <w:u w:val="none"/>
                <w:rtl w:val="0"/>
              </w:rPr>
              <w:t xml:space="preserve"> </w:t>
            </w:r>
            <w:hyperlink r:id="rId7">
              <w:r w:rsidDel="00000000" w:rsidR="00000000" w:rsidRPr="00000000">
                <w:rPr>
                  <w:rFonts w:ascii="Times New Roman" w:cs="Times New Roman" w:eastAsia="Times New Roman" w:hAnsi="Times New Roman"/>
                  <w:b w:val="1"/>
                  <w:color w:val="000000"/>
                  <w:sz w:val="28"/>
                  <w:szCs w:val="28"/>
                  <w:u w:val="none"/>
                  <w:rtl w:val="0"/>
                </w:rPr>
                <w:t xml:space="preserve">György</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Fonts w:ascii="Times New Roman" w:cs="Times New Roman" w:eastAsia="Times New Roman" w:hAnsi="Times New Roman"/>
                <w:b w:val="1"/>
                <w:color w:val="000000"/>
                <w:sz w:val="28"/>
                <w:szCs w:val="28"/>
                <w:rtl w:val="0"/>
              </w:rPr>
              <w:t xml:space="preserve">E-mail: </w:t>
            </w:r>
            <w:r w:rsidDel="00000000" w:rsidR="00000000" w:rsidRPr="00000000">
              <w:rPr>
                <w:rtl w:val="0"/>
              </w:rPr>
              <w:t xml:space="preserve"> </w:t>
            </w:r>
            <w:r w:rsidDel="00000000" w:rsidR="00000000" w:rsidRPr="00000000">
              <w:rPr>
                <w:b w:val="1"/>
                <w:sz w:val="28"/>
                <w:szCs w:val="28"/>
                <w:rtl w:val="0"/>
              </w:rPr>
              <w:t xml:space="preserve">zsiguc.gyorgy@kmf.org.ua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0D">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Pr>
        <w:drawing>
          <wp:inline distB="0" distT="0" distL="0" distR="0">
            <wp:extent cx="1554696" cy="1654132"/>
            <wp:effectExtent b="0" l="0" r="0" t="0"/>
            <wp:docPr descr="D:\2Zhiguts2021\Досуг\Барселона17\P1070382.JPG" id="3" name="image1.jpg"/>
            <a:graphic>
              <a:graphicData uri="http://schemas.openxmlformats.org/drawingml/2006/picture">
                <pic:pic>
                  <pic:nvPicPr>
                    <pic:cNvPr descr="D:\2Zhiguts2021\Досуг\Барселона17\P1070382.JPG" id="0" name="image1.jpg"/>
                    <pic:cNvPicPr preferRelativeResize="0"/>
                  </pic:nvPicPr>
                  <pic:blipFill>
                    <a:blip r:embed="rId8"/>
                    <a:srcRect b="0" l="0" r="26230" t="0"/>
                    <a:stretch>
                      <a:fillRect/>
                    </a:stretch>
                  </pic:blipFill>
                  <pic:spPr>
                    <a:xfrm>
                      <a:off x="0" y="0"/>
                      <a:ext cx="1554696" cy="165413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Műszaki tudományok doktora, a Matematika és Informatika Tanszék professzora, Ukrajna Tisztelt Feltalálója, a Magyar Tudományos Akadémiának köztestületi tagja. 30 éves tapasztalattal rendelkező tanár, több mint 470 tudományos és oktatási munka, tankönyv, kézikönyv és monográfia szerzője.</w:t>
      </w:r>
    </w:p>
    <w:p w:rsidR="00000000" w:rsidDel="00000000" w:rsidP="00000000" w:rsidRDefault="00000000" w:rsidRPr="00000000" w14:paraId="00000010">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sz w:val="28"/>
          <w:szCs w:val="28"/>
          <w:rtl w:val="0"/>
        </w:rPr>
        <w:t xml:space="preserve">A II. Rákóczi Ferenc Kárpátaljai Magyar Főiskolán és az Ungvári Nemzeti Egyetemen különböző években az "Optimalizálási módszerek és modellek", a "Tudományos kutatás alapjai" és más tantárgyakat tanított MSc hallgatók számára.</w:t>
      </w: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Kutatási érdeklődés:</w:t>
      </w:r>
      <w:r w:rsidDel="00000000" w:rsidR="00000000" w:rsidRPr="00000000">
        <w:rPr>
          <w:rFonts w:ascii="Times New Roman" w:cs="Times New Roman" w:eastAsia="Times New Roman" w:hAnsi="Times New Roman"/>
          <w:b w:val="0"/>
          <w:i w:val="0"/>
          <w:color w:val="000000"/>
          <w:sz w:val="28"/>
          <w:szCs w:val="28"/>
          <w:rtl w:val="0"/>
        </w:rPr>
        <w:t xml:space="preserve"> a kutatás tervezésének modern tudományos módszerei és rendszerei, </w:t>
      </w:r>
      <w:r w:rsidDel="00000000" w:rsidR="00000000" w:rsidRPr="00000000">
        <w:rPr>
          <w:rFonts w:ascii="Times New Roman" w:cs="Times New Roman" w:eastAsia="Times New Roman" w:hAnsi="Times New Roman"/>
          <w:color w:val="000000"/>
          <w:sz w:val="28"/>
          <w:szCs w:val="28"/>
          <w:rtl w:val="0"/>
        </w:rPr>
        <w:t xml:space="preserve">anyagtudomány,</w:t>
      </w:r>
      <w:r w:rsidDel="00000000" w:rsidR="00000000" w:rsidRPr="00000000">
        <w:rPr>
          <w:rFonts w:ascii="Times New Roman" w:cs="Times New Roman" w:eastAsia="Times New Roman" w:hAnsi="Times New Roman"/>
          <w:b w:val="0"/>
          <w:i w:val="0"/>
          <w:color w:val="000000"/>
          <w:sz w:val="28"/>
          <w:szCs w:val="28"/>
          <w:rtl w:val="0"/>
        </w:rPr>
        <w:t xml:space="preserve"> az ipari vállalkozástervezés matematikai modelljei, a modellezés elméleti és módszertani vonatkozásai, új oktatási és tanulási információs technológiák, a munkavédelem alapjai stb.</w:t>
      </w:r>
    </w:p>
    <w:p w:rsidR="00000000" w:rsidDel="00000000" w:rsidP="00000000" w:rsidRDefault="00000000" w:rsidRPr="00000000" w14:paraId="00000012">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Rákóczi Ferenc Kárpátaljai Magyar Főiskola</w:t>
      </w:r>
    </w:p>
    <w:p w:rsidR="00000000" w:rsidDel="00000000" w:rsidP="00000000" w:rsidRDefault="00000000" w:rsidRPr="00000000" w14:paraId="0000001B">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368"/>
        <w:gridCol w:w="1672"/>
        <w:gridCol w:w="1368"/>
        <w:gridCol w:w="1824"/>
        <w:gridCol w:w="1521"/>
        <w:tblGridChange w:id="0">
          <w:tblGrid>
            <w:gridCol w:w="1819"/>
            <w:gridCol w:w="1368"/>
            <w:gridCol w:w="1672"/>
            <w:gridCol w:w="1368"/>
            <w:gridCol w:w="1824"/>
            <w:gridCol w:w="1521"/>
          </w:tblGrid>
        </w:tblGridChange>
      </w:tblGrid>
      <w:tr>
        <w:trPr>
          <w:cantSplit w:val="0"/>
          <w:trHeight w:val="1453" w:hRule="atLeast"/>
          <w:tblHeader w:val="0"/>
        </w:trPr>
        <w:tc>
          <w:tcPr>
            <w:vAlign w:val="center"/>
          </w:tcPr>
          <w:p w:rsidR="00000000" w:rsidDel="00000000" w:rsidP="00000000" w:rsidRDefault="00000000" w:rsidRPr="00000000" w14:paraId="0000001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1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w:t>
            </w:r>
          </w:p>
          <w:p w:rsidR="00000000" w:rsidDel="00000000" w:rsidP="00000000" w:rsidRDefault="00000000" w:rsidRPr="00000000" w14:paraId="0000001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w:t>
            </w:r>
          </w:p>
        </w:tc>
        <w:tc>
          <w:tcPr>
            <w:vAlign w:val="center"/>
          </w:tcPr>
          <w:p w:rsidR="00000000" w:rsidDel="00000000" w:rsidP="00000000" w:rsidRDefault="00000000" w:rsidRPr="00000000" w14:paraId="0000001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2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Nappali</w:t>
            </w:r>
          </w:p>
          <w:p w:rsidR="00000000" w:rsidDel="00000000" w:rsidP="00000000" w:rsidRDefault="00000000" w:rsidRPr="00000000" w14:paraId="0000002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Levelező</w:t>
            </w:r>
            <w:r w:rsidDel="00000000" w:rsidR="00000000" w:rsidRPr="00000000">
              <w:rPr>
                <w:rtl w:val="0"/>
              </w:rPr>
            </w:r>
          </w:p>
        </w:tc>
        <w:tc>
          <w:tcPr>
            <w:vAlign w:val="center"/>
          </w:tcPr>
          <w:p w:rsidR="00000000" w:rsidDel="00000000" w:rsidP="00000000" w:rsidRDefault="00000000" w:rsidRPr="00000000" w14:paraId="0000002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2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24">
      <w:pPr>
        <w:widowControl w:val="1"/>
        <w:spacing w:after="160" w:line="259"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2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26">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hallgatók kutatómunkája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9">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2A">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2D">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2E">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0">
            <w:pPr>
              <w:widowControl w:val="1"/>
              <w:rPr>
                <w:rFonts w:ascii="Calibri" w:cs="Calibri" w:eastAsia="Calibri" w:hAnsi="Calibri"/>
                <w:sz w:val="22"/>
                <w:szCs w:val="22"/>
              </w:rPr>
            </w:pPr>
            <w:r w:rsidDel="00000000" w:rsidR="00000000" w:rsidRPr="00000000">
              <w:rPr>
                <w:rtl w:val="0"/>
              </w:rPr>
            </w:r>
          </w:p>
        </w:tc>
      </w:tr>
      <w:tr>
        <w:trPr>
          <w:cantSplit w:val="0"/>
          <w:trHeight w:val="1859" w:hRule="atLeast"/>
          <w:tblHeader w:val="0"/>
        </w:trPr>
        <w:tc>
          <w:tcPr>
            <w:shd w:fill="d9d9d9" w:val="clear"/>
          </w:tcPr>
          <w:p w:rsidR="00000000" w:rsidDel="00000000" w:rsidP="00000000" w:rsidRDefault="00000000" w:rsidRPr="00000000" w14:paraId="00000031">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32">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3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20 </w:t>
            </w:r>
          </w:p>
          <w:p w:rsidR="00000000" w:rsidDel="00000000" w:rsidP="00000000" w:rsidRDefault="00000000" w:rsidRPr="00000000" w14:paraId="0000003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10</w:t>
            </w:r>
          </w:p>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B">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3C">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Zsiguc </w:t>
            </w:r>
            <w:hyperlink r:id="rId9">
              <w:r w:rsidDel="00000000" w:rsidR="00000000" w:rsidRPr="00000000">
                <w:rPr>
                  <w:rFonts w:ascii="Times New Roman" w:cs="Times New Roman" w:eastAsia="Times New Roman" w:hAnsi="Times New Roman"/>
                  <w:b w:val="1"/>
                  <w:sz w:val="28"/>
                  <w:szCs w:val="28"/>
                  <w:rtl w:val="0"/>
                </w:rPr>
                <w:t xml:space="preserve">György</w:t>
              </w:r>
            </w:hyperlink>
            <w:r w:rsidDel="00000000" w:rsidR="00000000" w:rsidRPr="00000000">
              <w:rPr>
                <w:rtl w:val="0"/>
              </w:rPr>
            </w:r>
          </w:p>
          <w:p w:rsidR="00000000" w:rsidDel="00000000" w:rsidP="00000000" w:rsidRDefault="00000000" w:rsidRPr="00000000" w14:paraId="0000003E">
            <w:pPr>
              <w:rPr>
                <w:b w:val="1"/>
              </w:rPr>
            </w:pPr>
            <w:r w:rsidDel="00000000" w:rsidR="00000000" w:rsidRPr="00000000">
              <w:rPr>
                <w:rFonts w:ascii="Times New Roman" w:cs="Times New Roman" w:eastAsia="Times New Roman" w:hAnsi="Times New Roman"/>
                <w:b w:val="1"/>
                <w:sz w:val="28"/>
                <w:szCs w:val="28"/>
                <w:rtl w:val="0"/>
              </w:rPr>
              <w:t xml:space="preserve">E-mail: </w:t>
            </w:r>
            <w:r w:rsidDel="00000000" w:rsidR="00000000" w:rsidRPr="00000000">
              <w:rPr>
                <w:b w:val="1"/>
                <w:rtl w:val="0"/>
              </w:rPr>
              <w:t xml:space="preserve"> </w:t>
            </w:r>
            <w:r w:rsidDel="00000000" w:rsidR="00000000" w:rsidRPr="00000000">
              <w:rPr>
                <w:b w:val="1"/>
                <w:sz w:val="28"/>
                <w:szCs w:val="28"/>
                <w:rtl w:val="0"/>
              </w:rPr>
              <w:t xml:space="preserve">zsiguc.gyorgy@kmf.org.ua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F">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40">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1">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r>
      <w:tr>
        <w:trPr>
          <w:cantSplit w:val="0"/>
          <w:trHeight w:val="976" w:hRule="atLeast"/>
          <w:tblHeader w:val="0"/>
        </w:trPr>
        <w:tc>
          <w:tcPr>
            <w:shd w:fill="d9d9d9" w:val="clear"/>
          </w:tcPr>
          <w:p w:rsidR="00000000" w:rsidDel="00000000" w:rsidP="00000000" w:rsidRDefault="00000000" w:rsidRPr="00000000" w14:paraId="00000042">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43">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4">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45">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w:t>
            </w:r>
            <w:r w:rsidDel="00000000" w:rsidR="00000000" w:rsidRPr="00000000">
              <w:rPr>
                <w:rFonts w:ascii="Times New Roman" w:cs="Times New Roman" w:eastAsia="Times New Roman" w:hAnsi="Times New Roman"/>
                <w:sz w:val="24"/>
                <w:szCs w:val="24"/>
                <w:rtl w:val="0"/>
              </w:rPr>
              <w:t xml:space="preserve">fejleszti a hallgatók elméleti ismereteit és gyakorlati készségeit a tudományos munkájuk során. </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hallgatók kutatómunkája" célja és célkitűzései az elméleti ismeretek, gyakorlati készségek fejlesztése a hallgatók számára annak biztosítása érdekében, hogy szakmai részvételük legyen a kutatási munka minőségi tervezésében és végrehajtásában. A tanfolyam formátuma – előadások, gyakorlati órák és konzultációk a témák jobb megértése érdekében.</w:t>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Tanulási eredmények:</w:t>
            </w:r>
          </w:p>
          <w:p w:rsidR="00000000" w:rsidDel="00000000" w:rsidP="00000000" w:rsidRDefault="00000000" w:rsidRPr="00000000" w14:paraId="000000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tanulmányozásának eredményei alapján a hallgatók képesek lesznek: </w:t>
            </w:r>
          </w:p>
          <w:p w:rsidR="00000000" w:rsidDel="00000000" w:rsidP="00000000" w:rsidRDefault="00000000" w:rsidRPr="00000000" w14:paraId="00000049">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meghatározni a tudományos kutatás típusát és szerkezetét, a kutatási témával kapcsolatos tudományos publikációk és szabadalmi anyagok keresésének módszereit; </w:t>
            </w:r>
          </w:p>
          <w:p w:rsidR="00000000" w:rsidDel="00000000" w:rsidP="00000000" w:rsidRDefault="00000000" w:rsidRPr="00000000" w14:paraId="0000004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folyamatmodellek felépítésének módszerei a kísérletek aktív és passzív tervezésével; </w:t>
            </w:r>
          </w:p>
          <w:p w:rsidR="00000000" w:rsidDel="00000000" w:rsidP="00000000" w:rsidRDefault="00000000" w:rsidRPr="00000000" w14:paraId="0000004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racionálisan megoldani a kreatív mérnöki feladatokat a mérnöki kreativitás elmélete alapján;</w:t>
            </w:r>
          </w:p>
          <w:p w:rsidR="00000000" w:rsidDel="00000000" w:rsidP="00000000" w:rsidRDefault="00000000" w:rsidRPr="00000000" w14:paraId="0000004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tervezni és végrehajtani kísérleti kutatásokat  és elvégezni az eredmények statisztikai feldolgozását.</w:t>
            </w:r>
          </w:p>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E">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4F">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1">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beszámolóval zárul.</w:t>
            </w:r>
          </w:p>
          <w:p w:rsidR="00000000" w:rsidDel="00000000" w:rsidP="00000000" w:rsidRDefault="00000000" w:rsidRPr="00000000" w14:paraId="00000052">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az adott tárgyból kredit alapú moduláris rendszerben kerül osztályozásra az alábbi táblázat alapján.</w:t>
            </w:r>
          </w:p>
          <w:tbl>
            <w:tblPr>
              <w:tblStyle w:val="Table4"/>
              <w:tblW w:w="55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1017"/>
              <w:gridCol w:w="1595"/>
              <w:gridCol w:w="1595"/>
              <w:tblGridChange w:id="0">
                <w:tblGrid>
                  <w:gridCol w:w="1328"/>
                  <w:gridCol w:w="1017"/>
                  <w:gridCol w:w="1595"/>
                  <w:gridCol w:w="1595"/>
                </w:tblGrid>
              </w:tblGridChange>
            </w:tblGrid>
            <w:tr>
              <w:trPr>
                <w:cantSplit w:val="0"/>
                <w:trHeight w:val="4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 балів за всі види навчальної діяльності / Tanulmányi összpontszám</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ECTS / ECTS osztályzat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за національною шкалою / Osztályzat a nemzeti skála szerint</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spacing w:after="160"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екзамену, курсового проекту (роботи), практики / vizsga, évfolyammunka és gyakorlat esetén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заліку / beszámoló esetén</w:t>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1"/>
                    <w:spacing w:after="160" w:lineRule="auto"/>
                    <w:ind w:lef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відмінно / jeles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зараховано / megfelelt</w:t>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добре / jó</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1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задовільно / elégséges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можливістю повторного складання / elégtelen a pótvizsga lehetőségével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можливістю повторного складання / nem felelt meg, a pótbeszámoló lehetőségével</w:t>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обов’язковим повторним вивченням дисципліни / elégtelen, a tárgy újrafelvételének kötelezettségével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обов’язковим повторним вивченням дисципліни / nem felelt meg, a tárgy újrafelvételének kötelezettségével</w:t>
                  </w:r>
                </w:p>
              </w:tc>
            </w:tr>
          </w:tbl>
          <w:p w:rsidR="00000000" w:rsidDel="00000000" w:rsidP="00000000" w:rsidRDefault="00000000" w:rsidRPr="00000000" w14:paraId="00000077">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7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szóbeli (egyéni feladatok, frontális felelés);</w:t>
            </w:r>
          </w:p>
          <w:p w:rsidR="00000000" w:rsidDel="00000000" w:rsidP="00000000" w:rsidRDefault="00000000" w:rsidRPr="00000000" w14:paraId="00000079">
            <w:pPr>
              <w:widowControl w:val="1"/>
              <w:rPr>
                <w:rFonts w:ascii="Calibri" w:cs="Calibri" w:eastAsia="Calibri" w:hAnsi="Calibri"/>
                <w:sz w:val="22"/>
                <w:szCs w:val="22"/>
              </w:rPr>
            </w:pPr>
            <w:r w:rsidDel="00000000" w:rsidR="00000000" w:rsidRPr="00000000">
              <w:rPr>
                <w:rFonts w:ascii="Times New Roman" w:cs="Times New Roman" w:eastAsia="Times New Roman" w:hAnsi="Times New Roman"/>
                <w:sz w:val="24"/>
                <w:szCs w:val="24"/>
                <w:rtl w:val="0"/>
              </w:rPr>
              <w:t xml:space="preserve"> - írásbeli (egyéni házi feladat, modulzáró dolgozat; önértékelés)</w:t>
            </w:r>
            <w:r w:rsidDel="00000000" w:rsidR="00000000" w:rsidRPr="00000000">
              <w:rPr>
                <w:rtl w:val="0"/>
              </w:rPr>
            </w:r>
          </w:p>
          <w:p w:rsidR="00000000" w:rsidDel="00000000" w:rsidP="00000000" w:rsidRDefault="00000000" w:rsidRPr="00000000" w14:paraId="0000007A">
            <w:pPr>
              <w:widowControl w:val="1"/>
              <w:rPr>
                <w:rFonts w:ascii="Times New Roman" w:cs="Times New Roman" w:eastAsia="Times New Roman" w:hAnsi="Times New Roman"/>
                <w:sz w:val="24"/>
                <w:szCs w:val="24"/>
              </w:rPr>
            </w:pPr>
            <w:r w:rsidDel="00000000" w:rsidR="00000000" w:rsidRPr="00000000">
              <w:rPr>
                <w:rtl w:val="0"/>
              </w:rPr>
            </w:r>
          </w:p>
        </w:tc>
      </w:tr>
      <w:tr>
        <w:trPr>
          <w:cantSplit w:val="0"/>
          <w:trHeight w:val="6675" w:hRule="atLeast"/>
          <w:tblHeader w:val="0"/>
        </w:trPr>
        <w:tc>
          <w:tcPr>
            <w:shd w:fill="d9d9d9" w:val="clear"/>
          </w:tcPr>
          <w:p w:rsidR="00000000" w:rsidDel="00000000" w:rsidP="00000000" w:rsidRDefault="00000000" w:rsidRPr="00000000" w14:paraId="0000007B">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7C">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E">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7F">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 végi kontrol esetén is szigorúan tilos. Nem megengedett eszközök használata (pl. mobil telefonok) évközi vagy félévvégi kontrol esetén is szigorúan tilos. </w:t>
            </w:r>
          </w:p>
          <w:p w:rsidR="00000000" w:rsidDel="00000000" w:rsidP="00000000" w:rsidRDefault="00000000" w:rsidRPr="00000000" w14:paraId="00000080">
            <w:pPr>
              <w:widowControl w:val="1"/>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widowControl w:val="1"/>
              <w:jc w:val="both"/>
              <w:rPr>
                <w:rFonts w:ascii="Times New Roman" w:cs="Times New Roman" w:eastAsia="Times New Roman" w:hAnsi="Times New Roman"/>
                <w:color w:val="0563c1"/>
                <w:sz w:val="24"/>
                <w:szCs w:val="24"/>
                <w:u w:val="single"/>
              </w:rPr>
            </w:pPr>
            <w:hyperlink r:id="rId11">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82">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oktatása a módszertani támogatás következő elemein alapul:</w:t>
            </w:r>
          </w:p>
          <w:p w:rsidR="00000000" w:rsidDel="00000000" w:rsidP="00000000" w:rsidRDefault="00000000" w:rsidRPr="00000000" w14:paraId="00000084">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nyomtatott források;</w:t>
            </w:r>
          </w:p>
          <w:p w:rsidR="00000000" w:rsidDel="00000000" w:rsidP="00000000" w:rsidRDefault="00000000" w:rsidRPr="00000000" w14:paraId="00000085">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elektronikus források,</w:t>
            </w:r>
          </w:p>
          <w:p w:rsidR="00000000" w:rsidDel="00000000" w:rsidP="00000000" w:rsidRDefault="00000000" w:rsidRPr="00000000" w14:paraId="00000086">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feladatgyűjtemények.</w:t>
            </w:r>
          </w:p>
          <w:p w:rsidR="00000000" w:rsidDel="00000000" w:rsidP="00000000" w:rsidRDefault="00000000" w:rsidRPr="00000000" w14:paraId="00000087">
            <w:pPr>
              <w:widowControl w:val="1"/>
              <w:numPr>
                <w:ilvl w:val="0"/>
                <w:numId w:val="1"/>
              </w:numPr>
              <w:spacing w:after="160"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multimédiás eszközök</w:t>
            </w:r>
          </w:p>
          <w:p w:rsidR="00000000" w:rsidDel="00000000" w:rsidP="00000000" w:rsidRDefault="00000000" w:rsidRPr="00000000" w14:paraId="00000088">
            <w:pPr>
              <w:widowControl w:val="1"/>
              <w:rPr>
                <w:rFonts w:ascii="Calibri" w:cs="Calibri" w:eastAsia="Calibri" w:hAnsi="Calibri"/>
                <w:sz w:val="22"/>
                <w:szCs w:val="22"/>
              </w:rPr>
            </w:pPr>
            <w:r w:rsidDel="00000000" w:rsidR="00000000" w:rsidRPr="00000000">
              <w:rPr>
                <w:rtl w:val="0"/>
              </w:rPr>
            </w:r>
          </w:p>
        </w:tc>
      </w:tr>
      <w:tr>
        <w:trPr>
          <w:cantSplit w:val="0"/>
          <w:trHeight w:val="1815" w:hRule="atLeast"/>
          <w:tblHeader w:val="0"/>
        </w:trPr>
        <w:tc>
          <w:tcPr>
            <w:shd w:fill="d9d9d9" w:val="clear"/>
          </w:tcPr>
          <w:p w:rsidR="00000000" w:rsidDel="00000000" w:rsidP="00000000" w:rsidRDefault="00000000" w:rsidRPr="00000000" w14:paraId="00000089">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8A">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C">
            <w:pPr>
              <w:widowControl w:val="1"/>
              <w:shd w:fill="ffffff" w:val="clear"/>
              <w:ind w:left="36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D">
      <w:pPr>
        <w:widowControl w:val="1"/>
        <w:spacing w:after="160" w:line="259"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26472"/>
    <w:pPr>
      <w:widowControl w:val="0"/>
      <w:autoSpaceDE w:val="0"/>
      <w:autoSpaceDN w:val="0"/>
      <w:adjustRightInd w:val="0"/>
      <w:spacing w:after="0" w:line="240" w:lineRule="auto"/>
    </w:pPr>
    <w:rPr>
      <w:rFonts w:ascii="Arial" w:cs="Arial" w:eastAsia="Times New Roman" w:hAnsi="Arial"/>
      <w:sz w:val="20"/>
      <w:szCs w:val="20"/>
      <w:lang w:eastAsia="ru-RU"/>
    </w:rPr>
  </w:style>
  <w:style w:type="paragraph" w:styleId="1">
    <w:name w:val="heading 1"/>
    <w:basedOn w:val="a"/>
    <w:link w:val="10"/>
    <w:uiPriority w:val="9"/>
    <w:qFormat w:val="1"/>
    <w:rsid w:val="00215527"/>
    <w:pPr>
      <w:widowControl w:val="1"/>
      <w:autoSpaceDE w:val="1"/>
      <w:autoSpaceDN w:val="1"/>
      <w:adjustRightInd w:val="1"/>
      <w:spacing w:after="100" w:afterAutospacing="1" w:before="100" w:beforeAutospacing="1"/>
      <w:outlineLvl w:val="0"/>
    </w:pPr>
    <w:rPr>
      <w:rFonts w:ascii="Times New Roman" w:cs="Times New Roman" w:hAnsi="Times New Roman"/>
      <w:b w:val="1"/>
      <w:bCs w:val="1"/>
      <w:kern w:val="36"/>
      <w:sz w:val="48"/>
      <w:szCs w:val="48"/>
      <w:lang w:eastAsia="uk-UA"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D26472"/>
    <w:rPr>
      <w:color w:val="0000ff"/>
      <w:u w:val="single"/>
    </w:rPr>
  </w:style>
  <w:style w:type="paragraph" w:styleId="a4">
    <w:name w:val="Subtitle"/>
    <w:basedOn w:val="a"/>
    <w:link w:val="a5"/>
    <w:qFormat w:val="1"/>
    <w:rsid w:val="00D26472"/>
    <w:pPr>
      <w:widowControl w:val="1"/>
      <w:autoSpaceDE w:val="1"/>
      <w:autoSpaceDN w:val="1"/>
      <w:adjustRightInd w:val="1"/>
      <w:jc w:val="center"/>
    </w:pPr>
    <w:rPr>
      <w:rFonts w:ascii="Times New Roman" w:cs="Times New Roman" w:hAnsi="Times New Roman"/>
      <w:b w:val="1"/>
      <w:sz w:val="28"/>
      <w:lang w:val="uk-UA"/>
    </w:rPr>
  </w:style>
  <w:style w:type="character" w:styleId="a5" w:customStyle="1">
    <w:name w:val="Підзаголовок Знак"/>
    <w:basedOn w:val="a0"/>
    <w:link w:val="a4"/>
    <w:rsid w:val="00D26472"/>
    <w:rPr>
      <w:rFonts w:ascii="Times New Roman" w:cs="Times New Roman" w:eastAsia="Times New Roman" w:hAnsi="Times New Roman"/>
      <w:b w:val="1"/>
      <w:sz w:val="28"/>
      <w:szCs w:val="20"/>
      <w:lang w:eastAsia="ru-RU" w:val="uk-UA"/>
    </w:rPr>
  </w:style>
  <w:style w:type="paragraph" w:styleId="login-buttonuser" w:customStyle="1">
    <w:name w:val="login-button__user"/>
    <w:basedOn w:val="a"/>
    <w:rsid w:val="00D26472"/>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character" w:styleId="fontstyle01" w:customStyle="1">
    <w:name w:val="fontstyle01"/>
    <w:basedOn w:val="a0"/>
    <w:rsid w:val="00D26472"/>
    <w:rPr>
      <w:rFonts w:ascii="LiberationSerif" w:hAnsi="LiberationSerif" w:hint="default"/>
      <w:b w:val="0"/>
      <w:bCs w:val="0"/>
      <w:i w:val="0"/>
      <w:iCs w:val="0"/>
      <w:color w:val="000000"/>
      <w:sz w:val="24"/>
      <w:szCs w:val="24"/>
    </w:rPr>
  </w:style>
  <w:style w:type="character" w:styleId="fontstyle21" w:customStyle="1">
    <w:name w:val="fontstyle21"/>
    <w:basedOn w:val="a0"/>
    <w:rsid w:val="00D26472"/>
    <w:rPr>
      <w:rFonts w:ascii="OpenSymbol" w:hAnsi="OpenSymbol" w:hint="default"/>
      <w:b w:val="0"/>
      <w:bCs w:val="0"/>
      <w:i w:val="0"/>
      <w:iCs w:val="0"/>
      <w:color w:val="000000"/>
      <w:sz w:val="24"/>
      <w:szCs w:val="24"/>
    </w:rPr>
  </w:style>
  <w:style w:type="paragraph" w:styleId="a6">
    <w:name w:val="Balloon Text"/>
    <w:basedOn w:val="a"/>
    <w:link w:val="a7"/>
    <w:uiPriority w:val="99"/>
    <w:semiHidden w:val="1"/>
    <w:unhideWhenUsed w:val="1"/>
    <w:rsid w:val="00D26472"/>
    <w:rPr>
      <w:rFonts w:ascii="Tahoma" w:cs="Tahoma" w:hAnsi="Tahoma"/>
      <w:sz w:val="16"/>
      <w:szCs w:val="16"/>
    </w:rPr>
  </w:style>
  <w:style w:type="character" w:styleId="a7" w:customStyle="1">
    <w:name w:val="Текст у виносці Знак"/>
    <w:basedOn w:val="a0"/>
    <w:link w:val="a6"/>
    <w:uiPriority w:val="99"/>
    <w:semiHidden w:val="1"/>
    <w:rsid w:val="00D26472"/>
    <w:rPr>
      <w:rFonts w:ascii="Tahoma" w:cs="Tahoma" w:eastAsia="Times New Roman" w:hAnsi="Tahoma"/>
      <w:sz w:val="16"/>
      <w:szCs w:val="16"/>
      <w:lang w:eastAsia="ru-RU"/>
    </w:rPr>
  </w:style>
  <w:style w:type="character" w:styleId="fontstyle31" w:customStyle="1">
    <w:name w:val="fontstyle31"/>
    <w:rsid w:val="00C644A6"/>
    <w:rPr>
      <w:rFonts w:ascii="Wingdings" w:hAnsi="Wingdings" w:hint="default"/>
      <w:b w:val="0"/>
      <w:bCs w:val="0"/>
      <w:i w:val="0"/>
      <w:iCs w:val="0"/>
      <w:color w:val="000000"/>
      <w:sz w:val="24"/>
      <w:szCs w:val="24"/>
    </w:rPr>
  </w:style>
  <w:style w:type="paragraph" w:styleId="a8">
    <w:name w:val="List Paragraph"/>
    <w:basedOn w:val="a"/>
    <w:uiPriority w:val="34"/>
    <w:qFormat w:val="1"/>
    <w:rsid w:val="00C644A6"/>
    <w:pPr>
      <w:ind w:left="720"/>
      <w:contextualSpacing w:val="1"/>
    </w:pPr>
  </w:style>
  <w:style w:type="character" w:styleId="author-name" w:customStyle="1">
    <w:name w:val="author-name"/>
    <w:basedOn w:val="a0"/>
    <w:rsid w:val="007579F5"/>
  </w:style>
  <w:style w:type="character" w:styleId="10" w:customStyle="1">
    <w:name w:val="Заголовок 1 Знак"/>
    <w:basedOn w:val="a0"/>
    <w:link w:val="1"/>
    <w:uiPriority w:val="9"/>
    <w:rsid w:val="00215527"/>
    <w:rPr>
      <w:rFonts w:ascii="Times New Roman" w:cs="Times New Roman" w:eastAsia="Times New Roman" w:hAnsi="Times New Roman"/>
      <w:b w:val="1"/>
      <w:bCs w:val="1"/>
      <w:kern w:val="36"/>
      <w:sz w:val="48"/>
      <w:szCs w:val="48"/>
      <w:lang w:eastAsia="uk-UA" w:val="uk-UA"/>
    </w:rPr>
  </w:style>
  <w:style w:type="paragraph" w:styleId="Subtitle">
    <w:name w:val="Subtitle"/>
    <w:basedOn w:val="Normal"/>
    <w:next w:val="Normal"/>
    <w:pPr>
      <w:widowControl w:val="1"/>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mf.uz.ua/wp-content/uploads/2019/11/Pol_yak_osv_ZUI_2019.pdf" TargetMode="External"/><Relationship Id="rId10" Type="http://schemas.openxmlformats.org/officeDocument/2006/relationships/hyperlink" Target="http://kmf.uz.ua/wp-content/uploads/2019/11/Pol_akad_dobr_ZUI_2019.pdf" TargetMode="External"/><Relationship Id="rId9" Type="http://schemas.openxmlformats.org/officeDocument/2006/relationships/hyperlink" Target="https://m2.mtmt.hu/gui2/?type=authors&amp;mode=browse&amp;sel=1004499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2.mtmt.hu/gui2/?type=authors&amp;mode=browse&amp;sel=10044998" TargetMode="Externa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HgYTv8bbCDJIY9MycUtU9jnYQ==">AMUW2mWT9zhenx0Z7Dq87jWkOT14L7RYG9wy8HiAY4RwQJmcpV4TbbYYBaz4PGLz7XwRroQ9xtpvCW38FXwXaSu6bpBqURCw8/4lRziwfKVcQmYSTdlcBs89Nt06H0ikr1GtbicQ6doG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2021-08-23T14:07:00Z</dcterms:created>
  <dc:creator>VIKA</dc:creator>
</cp:coreProperties>
</file>