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НАВЧАЛЬНОЇ ДИСЦИПЛІНИ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"ОСНОВИ ОХОРОНИ ПРАЦІ"</w:t>
      </w:r>
    </w:p>
    <w:p w:rsidR="00000000" w:rsidDel="00000000" w:rsidP="00000000" w:rsidRDefault="00000000" w:rsidRPr="00000000" w14:paraId="00000004">
      <w:pPr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ВИКЛАДАЧ</w:t>
      </w:r>
    </w:p>
    <w:tbl>
      <w:tblPr>
        <w:tblStyle w:val="Table1"/>
        <w:tblW w:w="6360.0" w:type="dxa"/>
        <w:jc w:val="left"/>
        <w:tblInd w:w="0.0" w:type="dxa"/>
        <w:tblLayout w:type="fixed"/>
        <w:tblLook w:val="0400"/>
      </w:tblPr>
      <w:tblGrid>
        <w:gridCol w:w="6360"/>
        <w:tblGridChange w:id="0">
          <w:tblGrid>
            <w:gridCol w:w="63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Жигуц Юрій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Електронна пошта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zsiguc.gyorgy@kmf.org.ua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drawing>
          <wp:inline distB="0" distT="0" distL="0" distR="0">
            <wp:extent cx="1741334" cy="929102"/>
            <wp:effectExtent b="0" l="0" r="0" t="0"/>
            <wp:docPr descr="D:\2Zhiguts2021\Фотографії\Фото19\Новое изображение.JPG" id="2" name="image1.jpg"/>
            <a:graphic>
              <a:graphicData uri="http://schemas.openxmlformats.org/drawingml/2006/picture">
                <pic:pic>
                  <pic:nvPicPr>
                    <pic:cNvPr descr="D:\2Zhiguts2021\Фотографії\Фото19\Новое изображение.JPG" id="0" name="image1.jpg"/>
                    <pic:cNvPicPr preferRelativeResize="0"/>
                  </pic:nvPicPr>
                  <pic:blipFill>
                    <a:blip r:embed="rId7"/>
                    <a:srcRect b="0" l="9872" r="359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1334" cy="9291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Доктор технічних наук, професор кафедри математики і інформатики, заслужений винахідник України, дійсний член колегії академії наук Угорщини. Викладач із 30-річним досвідом, автор більше 470-ти наукових та навчально-методичних праць, підручників, посібників та монографій.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Закарпатському угорському інституті ім. Ференца Ракоці II та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ДВНЗ «Ужгородський національний університет» в різні роки викладав крім предмету «Основи охорони праці», «Науково-дослідна робота студентів», «Матеріалознавство»,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Оптимізаційні методи та моделі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«Основи наукових досліджень» та ін. для магістрів і аспірантів.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Наукові інтереси: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методологічні аспекти охорони праці, сучасні наукові методи та системи планування досліджень, теоретичні та методологічні аспекти моделювання, матеріалознавство та ін.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after="160"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2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3"/>
        <w:gridCol w:w="1352"/>
        <w:gridCol w:w="1606"/>
        <w:gridCol w:w="1650"/>
        <w:gridCol w:w="1785"/>
        <w:gridCol w:w="1476"/>
        <w:tblGridChange w:id="0">
          <w:tblGrid>
            <w:gridCol w:w="1703"/>
            <w:gridCol w:w="1352"/>
            <w:gridCol w:w="1606"/>
            <w:gridCol w:w="1650"/>
            <w:gridCol w:w="1785"/>
            <w:gridCol w:w="1476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22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</w:t>
            </w:r>
          </w:p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Магістр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Інституційна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31">
      <w:pPr>
        <w:widowControl w:val="1"/>
        <w:spacing w:after="160"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2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Оптимізаційні методи та моделі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Математики та інформатики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 : вибіркова</w:t>
            </w:r>
          </w:p>
          <w:p w:rsidR="00000000" w:rsidDel="00000000" w:rsidP="00000000" w:rsidRDefault="00000000" w:rsidRPr="00000000" w14:paraId="0000003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 4</w:t>
            </w:r>
          </w:p>
          <w:p w:rsidR="00000000" w:rsidDel="00000000" w:rsidP="00000000" w:rsidRDefault="00000000" w:rsidRPr="00000000" w14:paraId="0000003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 20</w:t>
            </w:r>
          </w:p>
          <w:p w:rsidR="00000000" w:rsidDel="00000000" w:rsidP="00000000" w:rsidRDefault="00000000" w:rsidRPr="00000000" w14:paraId="0000004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заняття: 10</w:t>
            </w:r>
          </w:p>
          <w:p w:rsidR="00000000" w:rsidDel="00000000" w:rsidP="00000000" w:rsidRDefault="00000000" w:rsidRPr="00000000" w14:paraId="0000004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заняття: не передбачено</w:t>
            </w:r>
          </w:p>
          <w:p w:rsidR="00000000" w:rsidDel="00000000" w:rsidP="00000000" w:rsidRDefault="00000000" w:rsidRPr="00000000" w14:paraId="00000042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Жигуц Ю.Ю.,доктор технічних наук,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zsiguc.gyorgy@kmf.org.ua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9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Дисципліна "Основи охорони праці" є вибірковою дисципліною.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Мета та завдання навчальної дисципліни "Основи охорони праці" − засвоєння навчальної інформації та формування компетенції з розв’язання питань охорони праці в професійній діяльності, формування системи теоретичних та практичних знань з правових, економічних та організаційних питань захисту людей від впливу негативних факторів навколишнього середовища та праці, які доводять до мінімуму виробничий травматизм і фахові захворювання.</w:t>
                </w:r>
              </w:sdtContent>
            </w:sdt>
          </w:p>
          <w:p w:rsidR="00000000" w:rsidDel="00000000" w:rsidP="00000000" w:rsidRDefault="00000000" w:rsidRPr="00000000" w14:paraId="0000004C">
            <w:pPr>
              <w:widowControl w:val="1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Завдання дисципліни:</w:t>
            </w:r>
          </w:p>
          <w:p w:rsidR="00000000" w:rsidDel="00000000" w:rsidP="00000000" w:rsidRDefault="00000000" w:rsidRPr="00000000" w14:paraId="0000004D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- опрацювання засобів прогнозування, вияву та iдентифікацiї∙негативних факторів в системі "людина - середовище проживання"; </w:t>
                </w:r>
              </w:sdtContent>
            </w:sdt>
          </w:p>
          <w:p w:rsidR="00000000" w:rsidDel="00000000" w:rsidP="00000000" w:rsidRDefault="00000000" w:rsidRPr="00000000" w14:paraId="0000004E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вивчення впливу цих чинників на людину і навколишнє середовище; </w:t>
            </w:r>
          </w:p>
          <w:p w:rsidR="00000000" w:rsidDel="00000000" w:rsidP="00000000" w:rsidRDefault="00000000" w:rsidRPr="00000000" w14:paraId="0000004F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вивчення завдань охорони праці, основних законодавчих актів, законів про охорону праці, організацію нагляду і контролю з охорони праці у виробничих приміщеннях; </w:t>
            </w:r>
          </w:p>
          <w:p w:rsidR="00000000" w:rsidDel="00000000" w:rsidP="00000000" w:rsidRDefault="00000000" w:rsidRPr="00000000" w14:paraId="00000050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вивчення основних і додаткових засобів захисту працюючих від впливу найбільш широко поширених шкідливих факторів та небезпек; </w:t>
            </w:r>
          </w:p>
          <w:p w:rsidR="00000000" w:rsidDel="00000000" w:rsidP="00000000" w:rsidRDefault="00000000" w:rsidRPr="00000000" w14:paraId="00000051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вивчення вимог до промислової санітарії і техніки безпеки; </w:t>
            </w:r>
          </w:p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вивчення організації служби пожежної безпеки, засоби оцінки пожежної небезпеки і заходи по забезпеченню пожежної безпеки на виробництві. </w:t>
            </w:r>
          </w:p>
          <w:p w:rsidR="00000000" w:rsidDel="00000000" w:rsidP="00000000" w:rsidRDefault="00000000" w:rsidRPr="00000000" w14:paraId="00000053">
            <w:pPr>
              <w:widowControl w:val="1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курсу – проведення лекцій, практичних занять та консультації для кращого розуміння тем.</w:t>
            </w:r>
          </w:p>
          <w:p w:rsidR="00000000" w:rsidDel="00000000" w:rsidP="00000000" w:rsidRDefault="00000000" w:rsidRPr="00000000" w14:paraId="00000054">
            <w:pPr>
              <w:widowControl w:val="1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Результати навчання:</w:t>
            </w:r>
          </w:p>
          <w:p w:rsidR="00000000" w:rsidDel="00000000" w:rsidP="00000000" w:rsidRDefault="00000000" w:rsidRPr="00000000" w14:paraId="00000055">
            <w:pPr>
              <w:widowControl w:val="1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результатами вивчення предмету студенти зможуть:</w:t>
            </w:r>
          </w:p>
          <w:p w:rsidR="00000000" w:rsidDel="00000000" w:rsidP="00000000" w:rsidRDefault="00000000" w:rsidRPr="00000000" w14:paraId="00000056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визначати небезпечні і шкідливі чинники середовища і наслідки їх негативних дій, </w:t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встановлювати засоби і методи підвищення безпеки і екологічності технічних засобів і технологічних процесів, </w:t>
            </w:r>
          </w:p>
          <w:p w:rsidR="00000000" w:rsidDel="00000000" w:rsidP="00000000" w:rsidRDefault="00000000" w:rsidRPr="00000000" w14:paraId="00000058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ознайомитись з основами законодавства з охорони праці, обов'язки власників з організації охорони праці, підходи з поліпшення умов праці; </w:t>
            </w:r>
          </w:p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встановлювати причини виникнення шкідливих факторів і небезпек та основні заходи з ліквідації і зменшення їх впливу на працюючих.</w:t>
            </w:r>
          </w:p>
          <w:p w:rsidR="00000000" w:rsidDel="00000000" w:rsidP="00000000" w:rsidRDefault="00000000" w:rsidRPr="00000000" w14:paraId="0000005A">
            <w:pPr>
              <w:widowControl w:val="1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C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агальні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ЗК-1 Здатність комплексно розв’язувати проблему. Розуміння поставленої задачі; здатність проникати в суть явища, проблеми, завдання, виявляти характерні ознаки, суттєві риси та взаємозв’язки, проводити аналогії, узагальнювати; володіння системним, цілісним підходом до аналізу й оцінки ситуації та вирішення проблеми </w:t>
            </w:r>
          </w:p>
          <w:p w:rsidR="00000000" w:rsidDel="00000000" w:rsidP="00000000" w:rsidRDefault="00000000" w:rsidRPr="00000000" w14:paraId="0000005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ЗК-2 Критичне мислення. Здатність критично оцінювати отриману інформацію, використання логіки і раціональних міркувань, повнота аргументації для оцінки ситуації і правильності обраного шляху розв’язання задачі з урахуванням контексту. </w:t>
            </w:r>
          </w:p>
          <w:p w:rsidR="00000000" w:rsidDel="00000000" w:rsidP="00000000" w:rsidRDefault="00000000" w:rsidRPr="00000000" w14:paraId="0000005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ЗК-3 Креативність. Відкритість до нових знань, ідей і технологій; здатність продукувати нестандартні ідеї, творчо підходити до вирішення проблеми чи виконання завдання. </w:t>
            </w:r>
          </w:p>
          <w:p w:rsidR="00000000" w:rsidDel="00000000" w:rsidP="00000000" w:rsidRDefault="00000000" w:rsidRPr="00000000" w14:paraId="0000006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ЗК-4 Взаємодія з іншими. Готовність та здатність виконувати проекти у складі групи, брати на себе відповідальність за виконання спільних робіт; уміння вести дискусію, аргументовано відстоюючи свою точку зору. </w:t>
            </w:r>
          </w:p>
          <w:p w:rsidR="00000000" w:rsidDel="00000000" w:rsidP="00000000" w:rsidRDefault="00000000" w:rsidRPr="00000000" w14:paraId="0000006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ЗК-5 Когнітивна гнучкість. Здатність здобувати нові знання, уміння та інтегрувати їх з уже наявними; спроможність аналізувати явище, ситуацію, проблему, враховуючи різні параметри, фактори, причини; здатність адаптувати мислення для вирішення задач в змінених умовах чи нестандартних ситуаціях. </w:t>
            </w:r>
          </w:p>
          <w:p w:rsidR="00000000" w:rsidDel="00000000" w:rsidP="00000000" w:rsidRDefault="00000000" w:rsidRPr="00000000" w14:paraId="0000006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фахові (спеціальні) компетентності:</w:t>
            </w:r>
          </w:p>
          <w:p w:rsidR="00000000" w:rsidDel="00000000" w:rsidP="00000000" w:rsidRDefault="00000000" w:rsidRPr="00000000" w14:paraId="0000006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ФК-1 Логіко-математичне мислення. Здатність проводити міркування, дотримуючись законів та правил математичної логіки. </w:t>
            </w:r>
          </w:p>
          <w:p w:rsidR="00000000" w:rsidDel="00000000" w:rsidP="00000000" w:rsidRDefault="00000000" w:rsidRPr="00000000" w14:paraId="0000006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ФК-2  Культура доведення. Здатність проводити математичні доведення на базі аксіоматичного підходу, спроможність відрізняти правдоподібні аргументи від формально бездоганних. </w:t>
            </w:r>
          </w:p>
          <w:p w:rsidR="00000000" w:rsidDel="00000000" w:rsidP="00000000" w:rsidRDefault="00000000" w:rsidRPr="00000000" w14:paraId="0000006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ФК-3 Розв’язування задач. Уміння розв’язувати типові та нетипові задачі, проблеми у сфері професійної діяльності та навчання, що передбачає застосування теорій, концепцій, методів, інноваційних підходів, збір та інтерпретацію інформації (даних), вибір інструментальних засобів.</w:t>
            </w:r>
          </w:p>
          <w:p w:rsidR="00000000" w:rsidDel="00000000" w:rsidP="00000000" w:rsidRDefault="00000000" w:rsidRPr="00000000" w14:paraId="0000006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ФК-4 Обчислювальна культура. Навички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обчислень, зокрема усних, тотожних перетворень виразів, вибору раціональних методів і способів обчислень, перетворень, ефективне використання технічних засобів; здатність пояснювати в математичних термінах результати, отримані під час розрахунків.</w:t>
            </w:r>
          </w:p>
          <w:p w:rsidR="00000000" w:rsidDel="00000000" w:rsidP="00000000" w:rsidRDefault="00000000" w:rsidRPr="00000000" w14:paraId="0000006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ФК-5 Аналіз даних. Спроможність отримувати якісну інформацію на основі кількісних даних; спроможність розробляти експериментальні та спостережні дослідження й аналізувати дані, отримані на їхній основі.</w:t>
            </w:r>
          </w:p>
          <w:p w:rsidR="00000000" w:rsidDel="00000000" w:rsidP="00000000" w:rsidRDefault="00000000" w:rsidRPr="00000000" w14:paraId="0000006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ФК-6 Дослідницькі уміння. Здатність спостерігати, виявляти проблему, аналізувати, порівнювати, класифікувати, узагальнювати; креативність і спроможність генерувати ідеї; володіння сучасними методами пошуку цільової інформації; уміння розробляти програму дослідження і засоби реалізації. </w:t>
            </w:r>
          </w:p>
          <w:p w:rsidR="00000000" w:rsidDel="00000000" w:rsidP="00000000" w:rsidRDefault="00000000" w:rsidRPr="00000000" w14:paraId="0000006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ФК-7 Основи педагогічної майстерності. Володіння комплексом знань, умінь, інших компетентностей (з психології, педагогіки, математичних, інформатичних дисциплін, фізики, методики навчання математики, українознавчих та світоглядних дисциплін), що забезпечує здатність якісно організовувати і проводити навчання та виховну роботу в учнівському колективі.</w:t>
            </w:r>
          </w:p>
          <w:p w:rsidR="00000000" w:rsidDel="00000000" w:rsidP="00000000" w:rsidRDefault="00000000" w:rsidRPr="00000000" w14:paraId="0000006B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ПРН-1 Відтворювати базові знання фундаментальних розділів математики в обсязі, необхідному для володіння математичним апаратом відповідної галузі знань і використання математичних методів у обраній професії. </w:t>
            </w:r>
          </w:p>
          <w:p w:rsidR="00000000" w:rsidDel="00000000" w:rsidP="00000000" w:rsidRDefault="00000000" w:rsidRPr="00000000" w14:paraId="0000006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ПРН-2 Демонструвати розуміння міждисциплінарних зв’язків, спроможність з’ясовувати суть одного й того ж поняття (процесу, явища) з позицій різних математичних дисциплін. </w:t>
            </w:r>
          </w:p>
          <w:p w:rsidR="00000000" w:rsidDel="00000000" w:rsidP="00000000" w:rsidRDefault="00000000" w:rsidRPr="00000000" w14:paraId="0000006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ПРН-З Розуміти роль і значення доведення в математиці, а також поняття суттєвих, необхідних, достатніх умов; бути спроможним оцінити повноту доказової бази, наводити контрприклади для спростування помилкової гіпотези чи віднайти логічну помилку в наведених міркуваннях. </w:t>
            </w:r>
          </w:p>
          <w:p w:rsidR="00000000" w:rsidDel="00000000" w:rsidP="00000000" w:rsidRDefault="00000000" w:rsidRPr="00000000" w14:paraId="0000007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ПРН-4 Мати ґрунтовні знання елементарної математики, бути спроможним трактувати їх з точки зору математики вищої; мати знання з психолого-педагогічних дисциплін, дидактики в обсязі, необхідному для професійної діяльності.</w:t>
            </w:r>
          </w:p>
          <w:p w:rsidR="00000000" w:rsidDel="00000000" w:rsidP="00000000" w:rsidRDefault="00000000" w:rsidRPr="00000000" w14:paraId="0000007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ПРН-5 Демонструвати спроможність застосовувати новітні освітні технології у професійній діяльності, готовність і здатність шляхом самоосвіти, вивчення позитивного досвіду, удосконалювати свою педагогічну майстерність.</w:t>
            </w:r>
          </w:p>
          <w:p w:rsidR="00000000" w:rsidDel="00000000" w:rsidP="00000000" w:rsidRDefault="00000000" w:rsidRPr="00000000" w14:paraId="00000072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3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5">
      <w:pPr>
        <w:widowControl w:val="1"/>
        <w:spacing w:after="160" w:line="25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6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Підсумковий контроль – залік.</w:t>
            </w:r>
          </w:p>
          <w:p w:rsidR="00000000" w:rsidDel="00000000" w:rsidP="00000000" w:rsidRDefault="00000000" w:rsidRPr="00000000" w14:paraId="00000078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з даної дисципліни оцінюються за модульно рейтинговою системою, за наступною таблицею:</w:t>
            </w:r>
          </w:p>
          <w:tbl>
            <w:tblPr>
              <w:tblStyle w:val="Table5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9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A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7B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E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widowControl w:val="1"/>
                    <w:spacing w:after="16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84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87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B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C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E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8F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90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1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2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93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94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5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6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7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8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9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A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B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C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9D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процесі оцінювання навчальних досягнень студентів з даного курсу  застосовуються такі методи:</w:t>
            </w:r>
          </w:p>
          <w:p w:rsidR="00000000" w:rsidDel="00000000" w:rsidP="00000000" w:rsidRDefault="00000000" w:rsidRPr="00000000" w14:paraId="0000009E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9F">
            <w:pPr>
              <w:widowControl w:val="1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робота,: самооцінка, самоаналіз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0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A2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A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A7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 Елементарна математика »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A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 ;</w:t>
            </w:r>
          </w:p>
          <w:p w:rsidR="00000000" w:rsidDel="00000000" w:rsidP="00000000" w:rsidRDefault="00000000" w:rsidRPr="00000000" w14:paraId="000000A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 </w:t>
            </w:r>
          </w:p>
          <w:p w:rsidR="00000000" w:rsidDel="00000000" w:rsidP="00000000" w:rsidRDefault="00000000" w:rsidRPr="00000000" w14:paraId="000000A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 </w:t>
            </w:r>
          </w:p>
          <w:p w:rsidR="00000000" w:rsidDel="00000000" w:rsidP="00000000" w:rsidRDefault="00000000" w:rsidRPr="00000000" w14:paraId="000000A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мультимедійні презентації до навчальних занять </w:t>
            </w:r>
          </w:p>
          <w:p w:rsidR="00000000" w:rsidDel="00000000" w:rsidP="00000000" w:rsidRDefault="00000000" w:rsidRPr="00000000" w14:paraId="000000AC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навчальні відеофільми, відеофрагменти лекцій, практичних, визовних заходів у ЗВО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D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F">
            <w:pPr>
              <w:widowControl w:val="1"/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1"/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1"/>
              <w:shd w:fill="ffffff" w:val="clear"/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widowControl w:val="1"/>
        <w:spacing w:after="160" w:line="25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ungsuh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26472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D26472"/>
    <w:rPr>
      <w:color w:val="0000ff"/>
      <w:u w:val="single"/>
    </w:rPr>
  </w:style>
  <w:style w:type="paragraph" w:styleId="a4">
    <w:name w:val="Subtitle"/>
    <w:basedOn w:val="a"/>
    <w:link w:val="a5"/>
    <w:qFormat w:val="1"/>
    <w:rsid w:val="00D26472"/>
    <w:pPr>
      <w:widowControl w:val="1"/>
      <w:autoSpaceDE w:val="1"/>
      <w:autoSpaceDN w:val="1"/>
      <w:adjustRightInd w:val="1"/>
      <w:jc w:val="center"/>
    </w:pPr>
    <w:rPr>
      <w:rFonts w:ascii="Times New Roman" w:cs="Times New Roman" w:hAnsi="Times New Roman"/>
      <w:b w:val="1"/>
      <w:sz w:val="28"/>
      <w:lang w:val="uk-UA"/>
    </w:rPr>
  </w:style>
  <w:style w:type="character" w:styleId="a5" w:customStyle="1">
    <w:name w:val="Підзаголовок Знак"/>
    <w:basedOn w:val="a0"/>
    <w:link w:val="a4"/>
    <w:rsid w:val="00D26472"/>
    <w:rPr>
      <w:rFonts w:ascii="Times New Roman" w:cs="Times New Roman" w:eastAsia="Times New Roman" w:hAnsi="Times New Roman"/>
      <w:b w:val="1"/>
      <w:sz w:val="28"/>
      <w:szCs w:val="20"/>
      <w:lang w:eastAsia="ru-RU" w:val="uk-UA"/>
    </w:rPr>
  </w:style>
  <w:style w:type="paragraph" w:styleId="login-buttonuser" w:customStyle="1">
    <w:name w:val="login-button__user"/>
    <w:basedOn w:val="a"/>
    <w:rsid w:val="00D26472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character" w:styleId="fontstyle01" w:customStyle="1">
    <w:name w:val="fontstyle01"/>
    <w:basedOn w:val="a0"/>
    <w:rsid w:val="00D26472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a0"/>
    <w:rsid w:val="00D26472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 w:val="1"/>
    <w:unhideWhenUsed w:val="1"/>
    <w:rsid w:val="00D26472"/>
    <w:rPr>
      <w:rFonts w:ascii="Tahoma" w:cs="Tahoma" w:hAnsi="Tahoma"/>
      <w:sz w:val="16"/>
      <w:szCs w:val="16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D26472"/>
    <w:rPr>
      <w:rFonts w:ascii="Tahoma" w:cs="Tahoma" w:eastAsia="Times New Roman" w:hAnsi="Tahoma"/>
      <w:sz w:val="16"/>
      <w:szCs w:val="16"/>
      <w:lang w:eastAsia="ru-RU"/>
    </w:rPr>
  </w:style>
  <w:style w:type="character" w:styleId="fontstyle31" w:customStyle="1">
    <w:name w:val="fontstyle31"/>
    <w:rsid w:val="00C644A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 w:val="1"/>
    <w:rsid w:val="00C644A6"/>
    <w:pPr>
      <w:ind w:left="720"/>
      <w:contextualSpacing w:val="1"/>
    </w:pPr>
  </w:style>
  <w:style w:type="paragraph" w:styleId="Default" w:customStyle="1">
    <w:name w:val="Default"/>
    <w:rsid w:val="0072328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uk-UA"/>
    </w:rPr>
  </w:style>
  <w:style w:type="paragraph" w:styleId="Subtitle">
    <w:name w:val="Subtitle"/>
    <w:basedOn w:val="Normal"/>
    <w:next w:val="Normal"/>
    <w:pPr>
      <w:widowControl w:val="1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mf.uz.ua/wp-content/uploads/2019/11/Pol_yak_osv_ZUI_2019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kmf.uz.ua/wp-content/uploads/2019/11/Pol_akad_dobr_ZUI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Wy2ldZzu7A4OY0k1gzjwDHyIw==">AMUW2mW6CJ7m2SKOI5T4fdzYyrDXiE60kCmxDRmbht4K+3Tzaxbv0mPwDHDVqLwnNJsuBIp4Tm+7h3JvDkIKpdMZsutbkS0+q8jtdI/H63fT80hwGhNY0SJo0ZnM4NPN1qS6qbokT9Hw9BK0WmRaP1jJTZdZI6WdFtI1jJ7NYxnjE/D+2hOYcSTvm7UiREkFFpduoib65+xOEwHIUaD9S57DNlNhHDZtGV6Go199rufUHBRoB8zWO+jImba+v+/3aGZeMEMVdkDI/EIBuu7XTtmvqrrLQoMz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2021-08-24T06:13:00Z</dcterms:created>
  <dc:creator>VIKA</dc:creator>
</cp:coreProperties>
</file>