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0"/>
        <w:gridCol w:w="1359"/>
        <w:gridCol w:w="1633"/>
        <w:gridCol w:w="1535"/>
        <w:gridCol w:w="1801"/>
        <w:gridCol w:w="1494"/>
        <w:tblGridChange w:id="0">
          <w:tblGrid>
            <w:gridCol w:w="1750"/>
            <w:gridCol w:w="1359"/>
            <w:gridCol w:w="1633"/>
            <w:gridCol w:w="1535"/>
            <w:gridCol w:w="1801"/>
            <w:gridCol w:w="1494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навчання: інституційна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Числові системи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та інформатика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дисципліни: вибіркова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кредитів:4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Лекції:16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(семінарські) заняття:14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заняття: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Іштван Тіборович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roman.istvan@kmf.org.ua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Анотація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У програмі представлено основні положення курсу, подано моделі систем деяких типів, основні поняття та методи, приклади їх застосування на практиці.</w:t>
            </w:r>
          </w:p>
          <w:p w:rsidR="00000000" w:rsidDel="00000000" w:rsidP="00000000" w:rsidRDefault="00000000" w:rsidRPr="00000000" w14:paraId="0000002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Мета: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вивчення навчальної дисципліни «Числові системи» є ознайомлення здобувачів вищої освіти з аксіоматичним методом у математиці, сучасними поглядами на аксіоматичні теорії, формування в них чітких уявлень про основні числові системи.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Завдання: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вивчення навчальної дисципліни «Числові системи» є набуття здобувачами вищої освіти умінь і навичок, пов’язаних з обґрунтуванням аксіоматичних теорій (системою аксіом, несуперечливістю, незалежністю, категоричністю, повнотою, інтерпретацією системи аксіом), розв’язуванням задач з числових систем з використанням відповідної аксіоматики.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загальні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А2.5 Здатність розвивати учнів критичного мислення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ЗК2. Здатність вчитися і овлодівати сучасними знаннями, застосовувати знання у практичних ситуаціях.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ЗК 3. Здатність до абстрактного мислення, аналізу та синтезу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фахові (спеціальні) компетентності:</w:t>
            </w:r>
          </w:p>
          <w:p w:rsidR="00000000" w:rsidDel="00000000" w:rsidP="00000000" w:rsidRDefault="00000000" w:rsidRPr="00000000" w14:paraId="0000002F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ФК 13. Здатність до використання математичних методів і моделей в освіті/ педагогіців</w:t>
            </w:r>
          </w:p>
          <w:p w:rsidR="00000000" w:rsidDel="00000000" w:rsidP="00000000" w:rsidRDefault="00000000" w:rsidRPr="00000000" w14:paraId="00000030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ФК 17 Здатність до самоосвіти, самовдосконалення, саморелізації в професійній діяльності та до конкурентної спроможності на ринку праці.</w:t>
            </w:r>
          </w:p>
          <w:p w:rsidR="00000000" w:rsidDel="00000000" w:rsidP="00000000" w:rsidRDefault="00000000" w:rsidRPr="00000000" w14:paraId="00000031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ПР1 Розуміння змцсту і загальних властивостей інформаційної безпеки та правової інформації, зокрема проблем захисту даних та права інтелектуальної власності.</w:t>
            </w:r>
          </w:p>
          <w:p w:rsidR="00000000" w:rsidDel="00000000" w:rsidP="00000000" w:rsidRDefault="00000000" w:rsidRPr="00000000" w14:paraId="00000033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ПР17 Застосувати методологію і методику, цифрові технології наукових досліджень в галузі освіти/педагогіки, предметних спеціальностях середньої освіти-інформатиці та математиці.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3"/>
              </w:tabs>
              <w:spacing w:after="160" w:line="259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Основна тематика дисципліни</w:t>
            </w:r>
          </w:p>
          <w:p w:rsidR="00000000" w:rsidDel="00000000" w:rsidP="00000000" w:rsidRDefault="00000000" w:rsidRPr="00000000" w14:paraId="0000003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Модуль 1. Теоретико-множинні передумови.</w:t>
            </w:r>
          </w:p>
          <w:p w:rsidR="00000000" w:rsidDel="00000000" w:rsidP="00000000" w:rsidRDefault="00000000" w:rsidRPr="00000000" w14:paraId="00000037">
            <w:pPr>
              <w:tabs>
                <w:tab w:val="left" w:pos="284"/>
                <w:tab w:val="left" w:pos="567"/>
              </w:tabs>
              <w:ind w:firstLine="56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  <w:tab/>
              <w:t xml:space="preserve">Найпростіші логічні і теоретико-множинні поняття.</w:t>
            </w:r>
          </w:p>
          <w:p w:rsidR="00000000" w:rsidDel="00000000" w:rsidP="00000000" w:rsidRDefault="00000000" w:rsidRPr="00000000" w14:paraId="00000038">
            <w:pPr>
              <w:tabs>
                <w:tab w:val="left" w:pos="284"/>
                <w:tab w:val="left" w:pos="567"/>
              </w:tabs>
              <w:ind w:firstLine="56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  <w:tab/>
              <w:t xml:space="preserve">Відношення та функції. Основні види відношень.</w:t>
            </w:r>
          </w:p>
          <w:p w:rsidR="00000000" w:rsidDel="00000000" w:rsidP="00000000" w:rsidRDefault="00000000" w:rsidRPr="00000000" w14:paraId="00000039">
            <w:pPr>
              <w:tabs>
                <w:tab w:val="left" w:pos="284"/>
                <w:tab w:val="left" w:pos="567"/>
              </w:tabs>
              <w:ind w:firstLine="56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  <w:tab/>
              <w:t xml:space="preserve">Алгебраїчні системи. Гомоморфізми та ізоморфізми алгебр.</w:t>
            </w:r>
          </w:p>
          <w:p w:rsidR="00000000" w:rsidDel="00000000" w:rsidP="00000000" w:rsidRDefault="00000000" w:rsidRPr="00000000" w14:paraId="0000003A">
            <w:pPr>
              <w:tabs>
                <w:tab w:val="left" w:pos="284"/>
                <w:tab w:val="left" w:pos="567"/>
              </w:tabs>
              <w:ind w:firstLine="56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  <w:tab/>
              <w:t xml:space="preserve">Упорядковані напівгрупи, групи, напівкільця, кільця, поля. Критерій упорядкованості кілець.</w:t>
            </w:r>
          </w:p>
          <w:p w:rsidR="00000000" w:rsidDel="00000000" w:rsidP="00000000" w:rsidRDefault="00000000" w:rsidRPr="00000000" w14:paraId="0000003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Модуль 2. Змістовна аксіоматична теорія числових систем</w:t>
            </w:r>
          </w:p>
          <w:p w:rsidR="00000000" w:rsidDel="00000000" w:rsidP="00000000" w:rsidRDefault="00000000" w:rsidRPr="00000000" w14:paraId="0000003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  <w:tab/>
              <w:t xml:space="preserve">Аксіоми Пеано і наслідки з них.</w:t>
            </w:r>
          </w:p>
          <w:p w:rsidR="00000000" w:rsidDel="00000000" w:rsidP="00000000" w:rsidRDefault="00000000" w:rsidRPr="00000000" w14:paraId="0000003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  <w:tab/>
              <w:t xml:space="preserve">Відношення порядку на множині натуральних чисел.</w:t>
            </w:r>
          </w:p>
          <w:p w:rsidR="00000000" w:rsidDel="00000000" w:rsidP="00000000" w:rsidRDefault="00000000" w:rsidRPr="00000000" w14:paraId="0000003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  <w:tab/>
              <w:t xml:space="preserve">Характеристика системи аксіом Пеано.</w:t>
            </w:r>
          </w:p>
          <w:p w:rsidR="00000000" w:rsidDel="00000000" w:rsidP="00000000" w:rsidRDefault="00000000" w:rsidRPr="00000000" w14:paraId="0000003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  <w:tab/>
              <w:t xml:space="preserve">Поняття про формалізовану аксіоматичну теорію натуральних чисел.</w:t>
            </w:r>
          </w:p>
          <w:p w:rsidR="00000000" w:rsidDel="00000000" w:rsidP="00000000" w:rsidRDefault="00000000" w:rsidRPr="00000000" w14:paraId="0000004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  <w:tab/>
              <w:t xml:space="preserve">Задача розширення поняття про число.</w:t>
            </w:r>
          </w:p>
          <w:p w:rsidR="00000000" w:rsidDel="00000000" w:rsidP="00000000" w:rsidRDefault="00000000" w:rsidRPr="00000000" w14:paraId="0000004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  <w:tab/>
              <w:t xml:space="preserve">Аксіоми цілих чисел і деякі наслідки з них.</w:t>
            </w:r>
          </w:p>
          <w:p w:rsidR="00000000" w:rsidDel="00000000" w:rsidP="00000000" w:rsidRDefault="00000000" w:rsidRPr="00000000" w14:paraId="0000004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  <w:tab/>
              <w:t xml:space="preserve">Властивості системи аксіом цілих чисел.</w:t>
            </w:r>
          </w:p>
          <w:p w:rsidR="00000000" w:rsidDel="00000000" w:rsidP="00000000" w:rsidRDefault="00000000" w:rsidRPr="00000000" w14:paraId="0000004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  <w:tab/>
              <w:t xml:space="preserve">Аксіоми раціональних чисел і деякі наслідки з них.</w:t>
            </w:r>
          </w:p>
          <w:p w:rsidR="00000000" w:rsidDel="00000000" w:rsidP="00000000" w:rsidRDefault="00000000" w:rsidRPr="00000000" w14:paraId="0000004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  <w:tab/>
              <w:t xml:space="preserve">Властивості системи аксіом раціональних чисел.</w:t>
            </w:r>
          </w:p>
          <w:p w:rsidR="00000000" w:rsidDel="00000000" w:rsidP="00000000" w:rsidRDefault="00000000" w:rsidRPr="00000000" w14:paraId="0000004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  <w:tab/>
              <w:t xml:space="preserve">Необхідність розширення поля раціональних чисел.</w:t>
            </w:r>
          </w:p>
          <w:p w:rsidR="00000000" w:rsidDel="00000000" w:rsidP="00000000" w:rsidRDefault="00000000" w:rsidRPr="00000000" w14:paraId="0000004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  <w:tab/>
              <w:t xml:space="preserve">Нормовані поля.</w:t>
            </w:r>
          </w:p>
          <w:p w:rsidR="00000000" w:rsidDel="00000000" w:rsidP="00000000" w:rsidRDefault="00000000" w:rsidRPr="00000000" w14:paraId="0000004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</w:t>
              <w:tab/>
              <w:t xml:space="preserve">Збіжні і фундаментальні послідовності.</w:t>
            </w:r>
          </w:p>
          <w:p w:rsidR="00000000" w:rsidDel="00000000" w:rsidP="00000000" w:rsidRDefault="00000000" w:rsidRPr="00000000" w14:paraId="0000004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</w:t>
              <w:tab/>
              <w:t xml:space="preserve">Аксіоматична теорія дійсних чисел.</w:t>
            </w:r>
          </w:p>
          <w:p w:rsidR="00000000" w:rsidDel="00000000" w:rsidP="00000000" w:rsidRDefault="00000000" w:rsidRPr="00000000" w14:paraId="0000004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</w:t>
              <w:tab/>
              <w:t xml:space="preserve">Зображення дійсних чисел.</w:t>
            </w:r>
          </w:p>
          <w:p w:rsidR="00000000" w:rsidDel="00000000" w:rsidP="00000000" w:rsidRDefault="00000000" w:rsidRPr="00000000" w14:paraId="0000004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</w:t>
              <w:tab/>
              <w:t xml:space="preserve">Різні способи введення комплексних чисел.</w:t>
            </w:r>
          </w:p>
          <w:p w:rsidR="00000000" w:rsidDel="00000000" w:rsidP="00000000" w:rsidRDefault="00000000" w:rsidRPr="00000000" w14:paraId="0000004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</w:t>
              <w:tab/>
              <w:t xml:space="preserve">Аксіоми комплексних чисел і деякі наслідки з них.</w:t>
            </w:r>
          </w:p>
          <w:p w:rsidR="00000000" w:rsidDel="00000000" w:rsidP="00000000" w:rsidRDefault="00000000" w:rsidRPr="00000000" w14:paraId="0000004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</w:t>
              <w:tab/>
              <w:t xml:space="preserve">Властивості системи аксіом комплексних чисел.</w:t>
            </w:r>
          </w:p>
          <w:p w:rsidR="00000000" w:rsidDel="00000000" w:rsidP="00000000" w:rsidRDefault="00000000" w:rsidRPr="00000000" w14:paraId="0000004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</w:t>
              <w:tab/>
              <w:t xml:space="preserve">Подальші розширення поняття числа.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Підсумковий контроль – залік.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з даної дисципліни оцінюються за модульно рейтинговою системою, за наступною таблицею: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5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A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 проводиться, як правило, шляхом письмового виконання індивідуальних завдань із подальшою перевіркою їх викладачем та оголошення оцінки. У процесі оцінювання навчальних досягнень магістрантів з курсу «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Наукові основи шкільного курсу математики» застосовуються такі методи: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робота,: самооцінка, самоаналіз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 </w:t>
            </w:r>
            <w:r w:rsidDel="00000000" w:rsidR="00000000" w:rsidRPr="00000000">
              <w:rPr>
                <w:rtl w:val="0"/>
              </w:rPr>
              <w:t xml:space="preserve">Диференціальні рівняння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»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 ;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 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Вивальнюк, Л.М., Григоренко В.К., Левіщенко С.С. Числові системи.- К.: Вища шк., 1988.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Нечаев В.И. Числовые системы. – М.: Просвещение, 1975.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Лиман Ф.М. Числові системи: навчальний посібник – Суми: Видавництво «МакДен», 2010. – 192 с.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Андронов И.К. Арифметика рациональных чисел / И.К. Андронов, А.К. Окунев.— Москва: Просвещение, 1971. — 399 с.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Ганюшкiн О.Г. Теорiя груп / О.Г. Ганюшкiн, О.О. Безущак. — Київ: ВПЦ Київський університет, 2005. — 126 с.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Кантор И. Л. Гиперкомплексные числа / И.Л. Кантор. — Москва: Наука, 1973. — 144 с.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Кострикин А. И. Введение в алгебру. Часть III. Основные структуры / А. И. Кострикин. — Москва: Физматлит, 2001. — 271 с.</w:t>
            </w:r>
          </w:p>
          <w:p w:rsidR="00000000" w:rsidDel="00000000" w:rsidP="00000000" w:rsidRDefault="00000000" w:rsidRPr="00000000" w14:paraId="0000008D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ЗАТВЕРДЖЕНО</w:t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Вченою радою ЗУІ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Протокол № „9” від „23” грудня 2020  р.</w:t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ff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Ф-ДК-РП1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fej">
    <w:name w:val="header"/>
    <w:basedOn w:val="Norml"/>
    <w:link w:val="lfej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05502E"/>
  </w:style>
  <w:style w:type="paragraph" w:styleId="Listaszerbekezds">
    <w:name w:val="List Paragraph"/>
    <w:basedOn w:val="Norml"/>
    <w:uiPriority w:val="34"/>
    <w:qFormat w:val="1"/>
    <w:rsid w:val="00A960FB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A960FB"/>
    <w:rPr>
      <w:color w:val="0563c1" w:themeColor="hyperlink"/>
      <w:u w:val="single"/>
    </w:rPr>
  </w:style>
  <w:style w:type="paragraph" w:styleId="Default" w:customStyle="1">
    <w:name w:val="Default"/>
    <w:rsid w:val="007363D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Kiemels">
    <w:name w:val="Emphasis"/>
    <w:uiPriority w:val="20"/>
    <w:qFormat w:val="1"/>
    <w:rsid w:val="0003550C"/>
    <w:rPr>
      <w:i w:val="1"/>
      <w:iCs w:val="1"/>
    </w:rPr>
  </w:style>
  <w:style w:type="paragraph" w:styleId="Szvegtrzs3">
    <w:name w:val="Body Text 3"/>
    <w:basedOn w:val="Norml"/>
    <w:link w:val="Szvegtrzs3Char"/>
    <w:rsid w:val="0019740E"/>
    <w:pPr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ru-RU" w:val="ru-RU"/>
    </w:rPr>
  </w:style>
  <w:style w:type="character" w:styleId="Szvegtrzs3Char" w:customStyle="1">
    <w:name w:val="Szövegtörzs 3 Char"/>
    <w:basedOn w:val="Bekezdsalapbettpusa"/>
    <w:link w:val="Szvegtrzs3"/>
    <w:rsid w:val="0019740E"/>
    <w:rPr>
      <w:rFonts w:ascii="Times New Roman" w:cs="Times New Roman" w:eastAsia="Times New Roman" w:hAnsi="Times New Roman"/>
      <w:sz w:val="16"/>
      <w:szCs w:val="16"/>
      <w:lang w:eastAsia="ru-RU" w:val="ru-RU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 w:customStyle="1">
    <w:name w:val="Unresolved Mention"/>
    <w:basedOn w:val="Bekezdsalapbettpusa"/>
    <w:uiPriority w:val="99"/>
    <w:semiHidden w:val="1"/>
    <w:unhideWhenUsed w:val="1"/>
    <w:rsid w:val="0003194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mf.uz.ua/wp-content/uploads/2019/11/Pol_yak_osv_ZUI_2019.pdf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oman.istvan@kmf.org.ua" TargetMode="External"/><Relationship Id="rId8" Type="http://schemas.openxmlformats.org/officeDocument/2006/relationships/hyperlink" Target="http://kmf.uz.ua/wp-content/uploads/2019/11/Pol_akad_dobr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81kWiApXy2Kws58gmQrP83txw==">AMUW2mXP+ot5lXG92M26wVuLYcRT00gNfxJEPoiACW4aulbYNlNOAhhhqNvq79z4K6vcoOroqo7vyDw6+elo+dqX9fXNdp9L1td7VOlFmXkNbxif/OpGXcjNQOBi9NqxNMIEXtK9IXUaokcW/e5JuTpSLmUlAoOJoeHwI1mdoJ4y2SMpBsEcQ/w=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2021-08-24T19:15:00Z</dcterms:created>
  <dc:creator>tanar</dc:creator>
</cp:coreProperties>
</file>