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 II. Rákóczi Ferenc Kárpátaljai Magyar Főiskola </w:t>
      </w:r>
    </w:p>
    <w:tbl>
      <w:tblPr>
        <w:tblStyle w:val="Table1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9"/>
        <w:gridCol w:w="1368"/>
        <w:gridCol w:w="1672"/>
        <w:gridCol w:w="1368"/>
        <w:gridCol w:w="1824"/>
        <w:gridCol w:w="1521"/>
        <w:tblGridChange w:id="0">
          <w:tblGrid>
            <w:gridCol w:w="1819"/>
            <w:gridCol w:w="1368"/>
            <w:gridCol w:w="1672"/>
            <w:gridCol w:w="1368"/>
            <w:gridCol w:w="1824"/>
            <w:gridCol w:w="1521"/>
          </w:tblGrid>
        </w:tblGridChange>
      </w:tblGrid>
      <w:tr>
        <w:trPr>
          <w:cantSplit w:val="0"/>
          <w:trHeight w:val="145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Képzési szint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Tagozat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Tanév/félév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2021-2022</w:t>
            </w:r>
          </w:p>
        </w:tc>
      </w:tr>
    </w:tbl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Tantárgyleírás</w:t>
      </w:r>
      <w:r w:rsidDel="00000000" w:rsidR="00000000" w:rsidRPr="00000000">
        <w:rPr>
          <w:rtl w:val="0"/>
        </w:rPr>
      </w:r>
    </w:p>
    <w:tbl>
      <w:tblPr>
        <w:tblStyle w:val="Table2"/>
        <w:tblW w:w="99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803"/>
        <w:tblGridChange w:id="0">
          <w:tblGrid>
            <w:gridCol w:w="3150"/>
            <w:gridCol w:w="680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címe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Algoritmusok és adatstruktúrák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Tanszék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Matematika és Informatika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Képzési program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típusa, kreditértéke, óraszáma (előadás/szeminárium/önálló munka)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tantárgy típusa: választható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Kreditérték: 4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Előadások: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Gyakorlati (szemináriumi) órák: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Laboratóriumi órák: 30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Önálló munka: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Tárgyfelelős oktató(k) (név, tudományos fokozat, tudományos cím, e-mail cím)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Holovács József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műszaki tudományok doktora,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professzor 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holovacs.jozsef@kmf.org.ua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előkövetelményei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általános ismertetése, célja, várható eredményei, főbb témakörei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általános ismertetése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program bemutatja a kurzus fő tematikáját, algoritmusfejlesztés modern módszereit és tipikus adatstruktúrákat.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Cél: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diákok ismereteinek, készségeinek és képességeinek formálása, amelyek szükségesek az algoritmusok és programok fejlesztéséhez különböző struktúrák adatainak felhasználásával.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Általános kompetenciák: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AК 2. Képesség a modern ismeretek elsajátítására, az ismeretek gyakorlati alkalmazására.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AК 5. Képesség különböző forrásokból adatkonvertálásra információs folyamatok segítségével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AК 6 Az információs és kommunikációs technológiák használatának készségei.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A3.3 a digitális technológiák alkalmazásának képessége az oktatási folyamatban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Szakmai (speciális) kompetenciák: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SzK 1. Képes reprodukálni, használni, új ismereteket teremteni a számítástechnika tantárgy területén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SzK 10 Képesség a digitális technológiák alkalmazására az informatika és a matematika területén.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kurzus tematikája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Tartalmi modul 1. Tipikus problémák algoritmizálásának alapjai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Téma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Az algoritmus szerepe az informatika és más tantárgyak tanulmányozásában.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Téma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Modern eszközök az algoritmusok felépítéséhez. Algoritmikus nyelvek. Deklaratív nyelvek.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Tartalmi modul 2. Alapvető adatstruktúrák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téma.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 modern programozási nyelvekben használt adatok fő típusai.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téma.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Összetett adatstruktúrák. Vermek. Sorok. Listák. Mátrixok.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téma.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Gráfok. Fák.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Tartalmi modul 3. Algoritmusok az adatstruktúrák feldolgozására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téma.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Tipikus adatfeldolgozó algoritmusok.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téma.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Keresési algoritmusok a bináris fákon. B-fák.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téma.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Alapvető algoritmusok a gráfokon. A legrövidebb ut keresése a gráfokon.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teljesítésének és értékelésének feltételei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kurzus beszámolóval zárul.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képzésben résztvevő hallgatók tanulmányi eredményei  «</w:t>
            </w:r>
            <w:r w:rsidDel="00000000" w:rsidR="00000000" w:rsidRPr="00000000">
              <w:rPr>
                <w:rtl w:val="0"/>
              </w:rPr>
              <w:t xml:space="preserve"> az adott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tárgyból kredit alapú moduláris rendszerben kerül osztályozásra az alábbi táblázat alapján.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464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550"/>
              <w:gridCol w:w="1176"/>
              <w:gridCol w:w="1869"/>
              <w:gridCol w:w="1869"/>
              <w:tblGridChange w:id="0">
                <w:tblGrid>
                  <w:gridCol w:w="1550"/>
                  <w:gridCol w:w="1176"/>
                  <w:gridCol w:w="1869"/>
                  <w:gridCol w:w="1869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Сума балів за всі види навчальної діяльності / Tanulmányi összpontszám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ECTS / ECTS osztályzat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5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Оцінка за національною шкалою / Osztályzat a nemzeti skála szerint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B">
                  <w:pPr>
                    <w:spacing w:line="240" w:lineRule="auto"/>
                    <w:ind w:right="-144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для екзамену, курсового проекту (роботи), практики / vizsga, évfolyammunka és gyakorlat esetén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для заліку / beszámoló esetén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D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відмінно / jeles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зараховано / megfelelt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1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82-89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добре / jó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5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75-81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9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64-74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задовільно / elégséges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D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60-63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35-59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FX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незадовільно з можливістю повторного складання / elégtelen a pótvizsga lehetőségével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не зараховано з можливістю повторного складання / nem felelt meg, a pótbeszámoló lehetőségével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0-34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незадовільно з обов’язковим повторним вивченням дисципліни / elégtelen, a tárgy újrafelvételének kötelezettségével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не зараховано з обов’язковим повторним вивченням дисципліни / nem felelt meg, a tárgy újrafelvételének kötelezettségével</w:t>
                  </w:r>
                </w:p>
              </w:tc>
            </w:tr>
          </w:tbl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tanulmányi eredmények mérésére, általában, a következő módszerekkel történik: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szóbeli (egyéni feladatok, frontális felelés);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írásbeli (egyéni házi feladat, modulzáró dolgozat; önértékelés)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tantárggyal kapcsolatos egyéb tudnivalók, követelmények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Szerzői jogok megőrzésének biztosítás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 írásbeli munkákat (szakdolgozat diplomamunka) plágium ellenőrző rendszerrel vizsgáljuk; legalább 80% saját munka esetén tekinthető sikeresnek. Bármiféle másolás évközi vagy félévvégi kontrol estén is szigorúan tilos. Nem megengedett eszközök használata (pl. mobil telefonok) évközi vagy félévvégi kontrol estén is szigorúan tilos. 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Положення про академічну доброчесність в ЗУІ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 "Algoritmusok és adatstruktúrák" tantárgy oktatása a módszertani támogatás következő elemein alapul: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• a tantárgy tartalmát tükröző nyomtatott források;</w:t>
            </w:r>
          </w:p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• a tantárgy tartalmát tükröző elektronikus források,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feladatgyűjtemények.</w:t>
            </w:r>
          </w:p>
          <w:p w:rsidR="00000000" w:rsidDel="00000000" w:rsidP="00000000" w:rsidRDefault="00000000" w:rsidRPr="00000000" w14:paraId="0000008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multimédiás eszközök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alapvető irodalma és digitális segédanyagok</w:t>
            </w:r>
          </w:p>
        </w:tc>
        <w:tc>
          <w:tcPr/>
          <w:p w:rsidR="00000000" w:rsidDel="00000000" w:rsidP="00000000" w:rsidRDefault="00000000" w:rsidRPr="00000000" w14:paraId="00000089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Ajánlott szakirodalom</w:t>
            </w:r>
          </w:p>
          <w:p w:rsidR="00000000" w:rsidDel="00000000" w:rsidP="00000000" w:rsidRDefault="00000000" w:rsidRPr="00000000" w14:paraId="0000008A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Alapművek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ind w:left="900" w:hanging="5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Járdán T. – Pomaházi S. Adatszerkezetek és algoritmusok, Eger, 1998. – 263p.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spacing w:after="45" w:before="45" w:lineRule="auto"/>
              <w:ind w:left="900" w:hanging="5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Angster Erzsébet: Programozás Tankönyv I. Strukturált tervezés, Turbo Pascal,: 7. Kiadás, 1999, 452 p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ind w:left="900" w:hanging="5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Долинер Л.И., Основы программирования в среде PascalABC.Net. Учебное пособие, Екатеринбург, УПИ 2011. 77 с.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spacing w:after="45" w:before="45" w:lineRule="auto"/>
              <w:ind w:left="900" w:hanging="5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Сердюченко В.Я. Розробка алгоритмів та програмування на мові Turbo Pascal: навчальний посібник для тхн. вузів. -Х.: ВПК “Парітет” ЛТД, 1995. –352 с.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spacing w:after="45" w:before="45" w:lineRule="auto"/>
              <w:ind w:left="900" w:hanging="5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Б.Пекарський Основи програмування. Навчальний посібник, Кондор, 2018, 364 c.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spacing w:after="45" w:before="45" w:lineRule="auto"/>
              <w:ind w:left="900" w:hanging="5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Азарян А.А., Карабут Н.О., Козикова Т.П., Рибальченко О.Г., Трачук А.А., Шаповалова Н.Н. В93 Основи алгоритмізації та програмування: Навчальний посібник. – Кривий Ріг: Вид-во ОктанПринт, 2014. - 308 с.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ind w:left="900" w:hanging="5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http://pascalabc.net/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ind w:left="900" w:hanging="54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https://documentation.help/PascalABC.NET-ru/documentation.pdf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9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Kiegészítő olvasmányok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shd w:fill="ffffff" w:val="clear"/>
              <w:ind w:left="900" w:right="240" w:hanging="5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Юрченко І.В. Інформатика та програмування. Частина 1. Навчальний посібник.– Чернівці: Книги–ХХІ, 2011.– 203 с.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shd w:fill="ffffff" w:val="clear"/>
              <w:ind w:left="900" w:right="240" w:hanging="5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Юрченко І.В., Сікора В.С. Інформатика та програмування. Частина 2.– Чернівці: Видавець Яворський С.Н., 2015.– 210 с.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ЗАТВЕРДЖЕНО</w:t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Вченою радою ЗУІ</w:t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Протокол № „9” від „23” грудня 2020  р.</w:t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Ф-ДК-РП1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54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00" w:hanging="54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2">
    <w:name w:val="heading 2"/>
    <w:basedOn w:val="Norml"/>
    <w:next w:val="Norml"/>
    <w:link w:val="Cmsor2Char"/>
    <w:qFormat w:val="1"/>
    <w:rsid w:val="00441C48"/>
    <w:pPr>
      <w:keepNext w:val="1"/>
      <w:spacing w:after="60" w:before="240" w:line="240" w:lineRule="auto"/>
      <w:outlineLvl w:val="1"/>
    </w:pPr>
    <w:rPr>
      <w:rFonts w:ascii="Arial" w:cs="Arial" w:eastAsia="Times New Roman" w:hAnsi="Arial"/>
      <w:b w:val="1"/>
      <w:bCs w:val="1"/>
      <w:i w:val="1"/>
      <w:iCs w:val="1"/>
      <w:sz w:val="28"/>
      <w:szCs w:val="28"/>
      <w:lang w:eastAsia="ru-RU" w:val="ru-R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fej">
    <w:name w:val="header"/>
    <w:basedOn w:val="Norml"/>
    <w:link w:val="lfejChar"/>
    <w:uiPriority w:val="99"/>
    <w:unhideWhenUsed w:val="1"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 w:val="1"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05502E"/>
  </w:style>
  <w:style w:type="paragraph" w:styleId="Listaszerbekezds">
    <w:name w:val="List Paragraph"/>
    <w:basedOn w:val="Norml"/>
    <w:uiPriority w:val="34"/>
    <w:qFormat w:val="1"/>
    <w:rsid w:val="00A960FB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unhideWhenUsed w:val="1"/>
    <w:rsid w:val="00A960FB"/>
    <w:rPr>
      <w:color w:val="0563c1" w:themeColor="hyperlink"/>
      <w:u w:val="single"/>
    </w:rPr>
  </w:style>
  <w:style w:type="paragraph" w:styleId="Default" w:customStyle="1">
    <w:name w:val="Default"/>
    <w:rsid w:val="007363D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u-HU"/>
    </w:rPr>
  </w:style>
  <w:style w:type="character" w:styleId="Kiemels">
    <w:name w:val="Emphasis"/>
    <w:uiPriority w:val="20"/>
    <w:qFormat w:val="1"/>
    <w:rsid w:val="0003550C"/>
    <w:rPr>
      <w:i w:val="1"/>
      <w:iCs w:val="1"/>
    </w:rPr>
  </w:style>
  <w:style w:type="paragraph" w:styleId="Szvegtrzsbehzssal">
    <w:name w:val="Body Text Indent"/>
    <w:basedOn w:val="Norml"/>
    <w:link w:val="SzvegtrzsbehzssalChar"/>
    <w:rsid w:val="00CE5C61"/>
    <w:pPr>
      <w:spacing w:after="120" w:line="240" w:lineRule="auto"/>
      <w:ind w:left="283"/>
    </w:pPr>
    <w:rPr>
      <w:rFonts w:ascii="Times New Roman" w:cs="Times New Roman" w:eastAsia="Times New Roman" w:hAnsi="Times New Roman"/>
      <w:sz w:val="28"/>
      <w:szCs w:val="24"/>
      <w:lang w:eastAsia="ru-RU" w:val="ru-RU"/>
    </w:rPr>
  </w:style>
  <w:style w:type="character" w:styleId="SzvegtrzsbehzssalChar" w:customStyle="1">
    <w:name w:val="Szövegtörzs behúzással Char"/>
    <w:basedOn w:val="Bekezdsalapbettpusa"/>
    <w:link w:val="Szvegtrzsbehzssal"/>
    <w:rsid w:val="00CE5C61"/>
    <w:rPr>
      <w:rFonts w:ascii="Times New Roman" w:cs="Times New Roman" w:eastAsia="Times New Roman" w:hAnsi="Times New Roman"/>
      <w:sz w:val="28"/>
      <w:szCs w:val="24"/>
      <w:lang w:eastAsia="ru-RU" w:val="ru-RU"/>
    </w:rPr>
  </w:style>
  <w:style w:type="character" w:styleId="Cmsor2Char" w:customStyle="1">
    <w:name w:val="Címsor 2 Char"/>
    <w:basedOn w:val="Bekezdsalapbettpusa"/>
    <w:link w:val="Cmsor2"/>
    <w:rsid w:val="00441C48"/>
    <w:rPr>
      <w:rFonts w:ascii="Arial" w:cs="Arial" w:eastAsia="Times New Roman" w:hAnsi="Arial"/>
      <w:b w:val="1"/>
      <w:bCs w:val="1"/>
      <w:i w:val="1"/>
      <w:iCs w:val="1"/>
      <w:sz w:val="28"/>
      <w:szCs w:val="28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umentation.help/PascalABC.NET-ru/documentation.pdf" TargetMode="External"/><Relationship Id="rId10" Type="http://schemas.openxmlformats.org/officeDocument/2006/relationships/hyperlink" Target="http://pascalabc.net/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kmf.uz.ua/wp-content/uploads/2019/11/Pol_yak_osv_ZUI_2019.pdf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olovacs.jozsef@kmf.org.ua" TargetMode="External"/><Relationship Id="rId8" Type="http://schemas.openxmlformats.org/officeDocument/2006/relationships/hyperlink" Target="http://kmf.uz.ua/wp-content/uploads/2019/11/Pol_akad_dobr_ZUI_201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YAnBGEpYMB2Khmtd+2MczxKsg==">AMUW2mVEJC5OQuHPl8aQMdJ7p0HAvvXzvRVpKsBOBD8Jqk3jQtJaOVUMZuQ8sacvzWGeAqsDUfVsVUlp+VFd9by0N1iSAfvUA947KLjMYrmiLqsyY0e88XdV0uDi2kHc6UxtmV6bt/GY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2021-08-24T19:13:00Z</dcterms:created>
  <dc:creator>tanar</dc:creator>
</cp:coreProperties>
</file>