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7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757"/>
        <w:gridCol w:w="1340"/>
        <w:gridCol w:w="1638"/>
        <w:gridCol w:w="1535"/>
        <w:gridCol w:w="1804"/>
        <w:gridCol w:w="1498"/>
        <w:tblGridChange w:id="0">
          <w:tblGrid>
            <w:gridCol w:w="1757"/>
            <w:gridCol w:w="1340"/>
            <w:gridCol w:w="1638"/>
            <w:gridCol w:w="1535"/>
            <w:gridCol w:w="1804"/>
            <w:gridCol w:w="1498"/>
          </w:tblGrid>
        </w:tblGridChange>
      </w:tblGrid>
      <w:tr>
        <w:trPr>
          <w:cantSplit w:val="0"/>
          <w:trHeight w:val="145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2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Ступінь вищої освіти</w:t>
            </w:r>
          </w:p>
          <w:p w:rsidR="00000000" w:rsidDel="00000000" w:rsidP="00000000" w:rsidRDefault="00000000" w:rsidRPr="00000000" w14:paraId="00000003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Форма навчання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6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Форма навчання: інституційна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Навчальний рік/семестр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2021/2022</w:t>
            </w:r>
          </w:p>
        </w:tc>
      </w:tr>
    </w:tbl>
    <w:p w:rsidR="00000000" w:rsidDel="00000000" w:rsidP="00000000" w:rsidRDefault="00000000" w:rsidRPr="00000000" w14:paraId="00000009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Силабус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yellow"/>
          <w:rtl w:val="0"/>
        </w:rPr>
        <w:t xml:space="preserve"> </w:t>
      </w:r>
    </w:p>
    <w:tbl>
      <w:tblPr>
        <w:tblStyle w:val="Table2"/>
        <w:tblW w:w="949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150"/>
        <w:gridCol w:w="6343"/>
        <w:tblGridChange w:id="0">
          <w:tblGrid>
            <w:gridCol w:w="3150"/>
            <w:gridCol w:w="6343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0A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Назва навчальної дисципліни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Вибіркові обстеження та їх застосування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0D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Кафедра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 та інформатика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10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Освітня програма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13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Тип дисципліни, кількість кредитів та годин (лекції/ практичні/семінарські/ лабораторні заняття/самостійна робота)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16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Викладач(і) відповідальний(і) за викладання навчальної дисципліни (імена, прізвища, наукові ступені і звання, адреса електронної пошти викладача/ів)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Дзямко Вікторія Йосипівна</w:t>
            </w:r>
          </w:p>
          <w:p w:rsidR="00000000" w:rsidDel="00000000" w:rsidP="00000000" w:rsidRDefault="00000000" w:rsidRPr="00000000" w14:paraId="0000001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кандидат педагогічних наук, доцент кафедри</w:t>
            </w:r>
          </w:p>
          <w:p w:rsidR="00000000" w:rsidDel="00000000" w:rsidP="00000000" w:rsidRDefault="00000000" w:rsidRPr="00000000" w14:paraId="0000001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e-mail: </w:t>
            </w:r>
            <w:r w:rsidDel="00000000" w:rsidR="00000000" w:rsidRPr="00000000">
              <w:rPr>
                <w:rFonts w:ascii="Helvetica Neue" w:cs="Helvetica Neue" w:eastAsia="Helvetica Neue" w:hAnsi="Helvetica Neue"/>
                <w:color w:val="222222"/>
                <w:sz w:val="24"/>
                <w:szCs w:val="24"/>
                <w:highlight w:val="white"/>
                <w:rtl w:val="0"/>
              </w:rPr>
              <w:t xml:space="preserve">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dzamko.viktoria@kmf.org.ua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1A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bookmarkStart w:colFirst="0" w:colLast="0" w:name="_heading=h.30j0zll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Пререквізити навчальної дисципліни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Вибрані розділи елементарної математики, теорія ймовірностей і математична статистика.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1C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Анотація дисципліни, мета, завдання та очікувані програмні результати  навчальної дисципліни, загальні та фахові компетентності, основна тематика дисципліни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Мета навчальної дисципліни – набути теоретичні знання і практичні навички у формуванні вибіркових сукупностей, результати обстеження яких спроможні забезпечити необхідну точність даних з мінімальними витратами. Завданням вивчення навчальної дисципліни є оволодіння здобувачами сучасною гармонізованою з міжнародними стандартами якості вибірковою методологією та технологією. Предмет навчальної дисципліни – це методологічні засади формування вибіркових сукупностей, оцінювання та коригування результатів вибіркових обстежень. У результаті вивчення навчальної дисципліни здобувач повинен оволодіти методологією та технологією комплексного вибіркового дослідження різних соціально-економічних сукупностей на основі проектування вибіркового спостереження з використанням базової інформації, використання статистичних методів й спеціальних програмних пакетів для формування випадкової вибірки, обробки, коректного аналізу та екстраполяції зібраних даних на генеральну сукупність. У результаті вивчення дисципліни здобувач повинен знати: способи організації вибіркових обстежень; методи оцінювання результатів вибірки різними способами добору; схему організації стратифікованої та багатоступеневої вибірки; схеми організації повторних вибіркових обстежень; принципи ротації одиниць вибіркової сукупності; засоби поширення результатів вибіркових обстежень на генеральну сукупність; етапи практичного застосування вибіркових технологій; вміти: збирати та обробляти внутрішню та зовнішню інформацію про стан господарювання відповідно до наукових методів її первинної оцінки; визначати основу вибірки, одиницю добору та одиницю спостереження; формувати план вибіркового дослідження; оцінювати точність й надійність результатів обстежень при різних способах добору; оцінювати зміни середньої за умов ротації вибірки; використовувати методи корегування результатів для компенсації недоліків вибірки; вибирати економічно ефективні способи розміщення вибірки й визначати мінімально необхідний обсяг вибіркової сукупності; визначити оптимальну частку зміщення при проектуванні повторних вибіркових обстежень.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tabs>
                <w:tab w:val="left" w:pos="284"/>
                <w:tab w:val="left" w:pos="567"/>
              </w:tabs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загальні компетентності: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А2.1здатність моделювати зміст навчання відповідно до обов’язкових результатів навчання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А2.3 здатність здійснювати інтегроване навчання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А2.5 здатність розвивати критичне мислення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ЗК2. Здатність вчитися і оволодівати сучасними знаннями, застосовувати знання у практичних ситуаціях. 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ЗК 6 Навички використання інформаційних і комунікаційних технологій.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ЗК 3 Здатність до абстрактного мислення, аналізу та синтезу.</w:t>
            </w:r>
          </w:p>
          <w:p w:rsidR="00000000" w:rsidDel="00000000" w:rsidP="00000000" w:rsidRDefault="00000000" w:rsidRPr="00000000" w14:paraId="00000026">
            <w:pPr>
              <w:tabs>
                <w:tab w:val="left" w:pos="993"/>
              </w:tabs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фахові (спеціальні) компетентності:</w:t>
            </w:r>
          </w:p>
          <w:p w:rsidR="00000000" w:rsidDel="00000000" w:rsidP="00000000" w:rsidRDefault="00000000" w:rsidRPr="00000000" w14:paraId="00000027">
            <w:pPr>
              <w:tabs>
                <w:tab w:val="left" w:pos="993"/>
              </w:tabs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ФК 10 Здатність до використання цифрових технологій наукових досліджень в галузях інформатики та математики.</w:t>
            </w:r>
          </w:p>
          <w:p w:rsidR="00000000" w:rsidDel="00000000" w:rsidP="00000000" w:rsidRDefault="00000000" w:rsidRPr="00000000" w14:paraId="00000028">
            <w:pPr>
              <w:tabs>
                <w:tab w:val="left" w:pos="993"/>
              </w:tabs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ФК 17 Здатність до самоосвіти, самовдосконалення, саморелізації в професійній діяльності та до конкурентної спроможності на ринку праці.</w:t>
            </w:r>
          </w:p>
          <w:p w:rsidR="00000000" w:rsidDel="00000000" w:rsidP="00000000" w:rsidRDefault="00000000" w:rsidRPr="00000000" w14:paraId="00000029">
            <w:pPr>
              <w:tabs>
                <w:tab w:val="left" w:pos="993"/>
              </w:tabs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Програмні результати навчання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2A">
            <w:pPr>
              <w:tabs>
                <w:tab w:val="left" w:pos="993"/>
              </w:tabs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ПР17 Застосувати методологію і методику, цифрові технології наукових досліджень в галузі освіти/педагогіки, предметних спеціальностях середньої освіти - інформатиці та математиці.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93"/>
              </w:tabs>
              <w:spacing w:after="160" w:before="0" w:line="240" w:lineRule="auto"/>
              <w:ind w:left="72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Основна тематика дисципліни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Тема 1.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Завдання та засоби організації вибіркових обстежень Сутність математичної теорії вибіркового методу. Дія закону великих чисел. Вибіркові досліджень та необхідність розширень сфери їх використання в ринковій економіці. Цільова генеральна сукупність та рамки обстеження. Проблеми в організації вибіркових досліджень. Способи організації вибіркових обстежень. Ймовірнісні й неймовірнісні категорії вибірки. Умови їх використання. Переваги та недоліки ймовірнісних й неймовірнісних вибірок. 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Тема 2.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Організація стратифікованої вибірки Особливості вибіркових обстежень у неоднорідних сукупностях. Принципи стратифікації. Засоби розміщення стратифікованої вибірки. Планування розміщення вибірки. Розміщення вибірки за областями дослідження. Розміщення вибірки за двома і більше ознаками. Порівняльні характеристики власне випадкового, стратифікованого та кластерного добору. Визначення обсягів стратифікованої вибірки.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Тема 3.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Організація багатоступеневої вибірки Схеми багатоступеневого добору. Метод підвибірок. Сфери практичного застосування двоступеневих та багатоступеневих вибірок. Побудова основ багатоступеневих вибірок. Оптимальне співвідношення обсягів добору на різних ступенях. Двоступенева вибірка з одиницями однакового розміру та рівними ймовірностями добору. Спеціальні різновиди простої двоступеневої вибірки. Триступенева вибірка. Розміщення вибірки за умови різного розміру одиниць первинної сукупності: а) імовірність добору однакова; б) імовірність добору пропорційна розміру одиниць. Порівняння точності оцінювання альтернативних методів формування підвибірок. Методологія формування триступеневої вибірки обстеження домогосподарств. 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Тема 4.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Поширення результатів вибіркового обстеження на генеральну сукупність Засоби поширення вибіркових даних на генеральну сукупність. Пряме поширення, спосіб коефіцієнтів. Проблеми повноти обстеження вибіркової сукупності. Причини втрат даних. 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Тема 5.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Ефективність вибірки. Визначення оптимального розміру вибіркових одиниць та оптимальної частки вибірки за умов використання додаткової інформації.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31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bookmarkStart w:colFirst="0" w:colLast="0" w:name="_heading=h.1fob9te" w:id="2"/>
            <w:bookmarkEnd w:id="2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Критерії контролю та оцінювання результатів навчання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2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Навчальні досягнення студентів із дисципліни оцінюються за модульнорейтинговою системою, в основу якої покладено принцип поопераційної звітності, накопичувальної системи оцінювання рівня знань, умінь та навичок; розширення кількості підсумкових балів до 100.</w:t>
            </w:r>
          </w:p>
          <w:tbl>
            <w:tblPr>
              <w:tblStyle w:val="Table3"/>
              <w:tblW w:w="5531.0" w:type="dxa"/>
              <w:jc w:val="left"/>
              <w:tblInd w:w="250.0" w:type="dxa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1327"/>
              <w:gridCol w:w="1016"/>
              <w:gridCol w:w="1594"/>
              <w:gridCol w:w="1594"/>
              <w:tblGridChange w:id="0">
                <w:tblGrid>
                  <w:gridCol w:w="1327"/>
                  <w:gridCol w:w="1016"/>
                  <w:gridCol w:w="1594"/>
                  <w:gridCol w:w="1594"/>
                </w:tblGrid>
              </w:tblGridChange>
            </w:tblGrid>
            <w:tr>
              <w:trPr>
                <w:cantSplit w:val="0"/>
                <w:trHeight w:val="415" w:hRule="atLeast"/>
                <w:tblHeader w:val="0"/>
              </w:trPr>
              <w:tc>
                <w:tcPr>
                  <w:vMerge w:val="restart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33">
                  <w:pPr>
                    <w:spacing w:line="240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Сума балів за всі види навчальної діяльності / Tanulmányi összpontszám</w:t>
                  </w:r>
                </w:p>
              </w:tc>
              <w:tc>
                <w:tcPr>
                  <w:vMerge w:val="restart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34">
                  <w:pPr>
                    <w:spacing w:line="240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Оцінка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  <w:rtl w:val="0"/>
                    </w:rPr>
                    <w:t xml:space="preserve"> 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ECTS / ECTS osztályzat</w:t>
                  </w:r>
                </w:p>
              </w:tc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35">
                  <w:pPr>
                    <w:spacing w:line="240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Оцінка за національною шкалою / Osztályzat a nemzeti skála szerint</w:t>
                  </w:r>
                </w:p>
              </w:tc>
            </w:tr>
            <w:tr>
              <w:trPr>
                <w:cantSplit w:val="0"/>
                <w:trHeight w:val="1070" w:hRule="atLeast"/>
                <w:tblHeader w:val="0"/>
              </w:trPr>
              <w:tc>
                <w:tcPr>
                  <w:vMerge w:val="continue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37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continue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38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39">
                  <w:pPr>
                    <w:spacing w:line="240" w:lineRule="auto"/>
                    <w:ind w:right="-144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для екзамену, курсового проекту (роботи), практики / vizsga, évfolyammunka és gyakorlat esetén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3A">
                  <w:pPr>
                    <w:spacing w:line="240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для заліку / beszámoló esetén</w:t>
                  </w:r>
                </w:p>
              </w:tc>
            </w:tr>
            <w:tr>
              <w:trPr>
                <w:cantSplit w:val="0"/>
                <w:trHeight w:val="166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3B">
                  <w:pPr>
                    <w:spacing w:line="240" w:lineRule="auto"/>
                    <w:ind w:left="180" w:firstLine="0"/>
                    <w:jc w:val="center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90 – 100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3C">
                  <w:pPr>
                    <w:spacing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  <w:rtl w:val="0"/>
                    </w:rPr>
                    <w:t xml:space="preserve">А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3D">
                  <w:pPr>
                    <w:spacing w:line="240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відмінно / jeles</w:t>
                  </w:r>
                </w:p>
              </w:tc>
              <w:tc>
                <w:tcPr>
                  <w:vMerge w:val="restart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3E">
                  <w:pPr>
                    <w:spacing w:line="240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зараховано / megfelelt</w:t>
                  </w:r>
                </w:p>
              </w:tc>
            </w:tr>
            <w:tr>
              <w:trPr>
                <w:cantSplit w:val="0"/>
                <w:trHeight w:val="179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3F">
                  <w:pPr>
                    <w:spacing w:line="240" w:lineRule="auto"/>
                    <w:ind w:left="180" w:firstLine="0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82-89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40">
                  <w:pPr>
                    <w:spacing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  <w:rtl w:val="0"/>
                    </w:rPr>
                    <w:t xml:space="preserve">В</w:t>
                  </w:r>
                </w:p>
              </w:tc>
              <w:tc>
                <w:tcPr>
                  <w:vMerge w:val="restart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41">
                  <w:pPr>
                    <w:spacing w:line="240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добре / jó</w:t>
                  </w:r>
                </w:p>
              </w:tc>
              <w:tc>
                <w:tcPr>
                  <w:vMerge w:val="continue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42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166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43">
                  <w:pPr>
                    <w:spacing w:line="240" w:lineRule="auto"/>
                    <w:ind w:left="180" w:firstLine="0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75-81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44">
                  <w:pPr>
                    <w:spacing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  <w:rtl w:val="0"/>
                    </w:rPr>
                    <w:t xml:space="preserve">С</w:t>
                  </w:r>
                </w:p>
              </w:tc>
              <w:tc>
                <w:tcPr>
                  <w:vMerge w:val="continue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45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continue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46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175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47">
                  <w:pPr>
                    <w:spacing w:line="240" w:lineRule="auto"/>
                    <w:ind w:left="180" w:firstLine="0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64-74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48">
                  <w:pPr>
                    <w:spacing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  <w:rtl w:val="0"/>
                    </w:rPr>
                    <w:t xml:space="preserve">D</w:t>
                  </w:r>
                </w:p>
              </w:tc>
              <w:tc>
                <w:tcPr>
                  <w:vMerge w:val="restart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49">
                  <w:pPr>
                    <w:spacing w:line="240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задовільно / elégséges</w:t>
                  </w:r>
                </w:p>
              </w:tc>
              <w:tc>
                <w:tcPr>
                  <w:vMerge w:val="continue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4A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166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4B">
                  <w:pPr>
                    <w:spacing w:line="240" w:lineRule="auto"/>
                    <w:ind w:left="180" w:firstLine="0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60-63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4C">
                  <w:pPr>
                    <w:spacing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  <w:rtl w:val="0"/>
                    </w:rPr>
                    <w:t xml:space="preserve">Е </w:t>
                  </w:r>
                </w:p>
              </w:tc>
              <w:tc>
                <w:tcPr>
                  <w:vMerge w:val="continue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4D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continue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4E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507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4F">
                  <w:pPr>
                    <w:spacing w:line="240" w:lineRule="auto"/>
                    <w:ind w:left="180" w:firstLine="0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35-59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50">
                  <w:pPr>
                    <w:spacing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  <w:rtl w:val="0"/>
                    </w:rPr>
                    <w:t xml:space="preserve">FX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51">
                  <w:pPr>
                    <w:spacing w:line="240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незадовільно з можливістю повторного складання / elégtelen a pótvizsga lehetőségével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52">
                  <w:pPr>
                    <w:spacing w:line="240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не зараховано з можливістю повторного складання / nem felelt meg, a pótbeszámoló lehetőségével</w:t>
                  </w:r>
                </w:p>
              </w:tc>
            </w:tr>
            <w:tr>
              <w:trPr>
                <w:cantSplit w:val="0"/>
                <w:trHeight w:val="653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53">
                  <w:pPr>
                    <w:spacing w:line="240" w:lineRule="auto"/>
                    <w:ind w:left="180" w:firstLine="0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0-34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54">
                  <w:pPr>
                    <w:spacing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  <w:rtl w:val="0"/>
                    </w:rPr>
                    <w:t xml:space="preserve">F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55">
                  <w:pPr>
                    <w:spacing w:line="240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незадовільно з обов’язковим повторним вивченням дисципліни / elégtelen, a tárgy újrafelvételének kötelezettségével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56">
                  <w:pPr>
                    <w:spacing w:line="240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не зараховано з обов’язковим повторним вивченням дисципліни / nem felelt meg, a tárgy újrafelvételének kötelezettségével</w:t>
                  </w:r>
                </w:p>
              </w:tc>
            </w:tr>
          </w:tbl>
          <w:p w:rsidR="00000000" w:rsidDel="00000000" w:rsidP="00000000" w:rsidRDefault="00000000" w:rsidRPr="00000000" w14:paraId="00000057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 заліку допускаються студенти, які відвідували лекційні та практичні заняття, опрацювали рекомендований мінімум навчальних завдань, прозвітували про самостійну роботу, виконали запропоновані реферативні роботи, і накопили мінімум 60% балів на протязі одного семестру. </w:t>
            </w:r>
          </w:p>
          <w:p w:rsidR="00000000" w:rsidDel="00000000" w:rsidP="00000000" w:rsidRDefault="00000000" w:rsidRPr="00000000" w14:paraId="00000058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Важливою передумовою допуску до заліку є відпрацювання пропущених лекційних занять.</w:t>
            </w:r>
          </w:p>
          <w:p w:rsidR="00000000" w:rsidDel="00000000" w:rsidP="00000000" w:rsidRDefault="00000000" w:rsidRPr="00000000" w14:paraId="00000059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Контроль проводиться, як правило, шляхом письмового виконання індивідуальних завдань із подальшою перевіркою їх викладачем та оголошення оцінки. У процесі оцінювання навчальних досягнень магістрантів з курсу «Методика навчання математики у вищій школі» застосовуються такі методи:</w:t>
            </w:r>
          </w:p>
          <w:p w:rsidR="00000000" w:rsidDel="00000000" w:rsidP="00000000" w:rsidRDefault="00000000" w:rsidRPr="00000000" w14:paraId="0000005A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- методи усного контролю: індивідуальне опитування, фронтальне опитування, співбесіда;</w:t>
            </w:r>
          </w:p>
          <w:p w:rsidR="00000000" w:rsidDel="00000000" w:rsidP="00000000" w:rsidRDefault="00000000" w:rsidRPr="00000000" w14:paraId="0000005B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- методи письмового контролю: розрахункова контрольна робота, модульна контрольна робота,: самооцінка, самоаналіз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5C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bookmarkStart w:colFirst="0" w:colLast="0" w:name="_heading=h.3znysh7" w:id="3"/>
            <w:bookmarkEnd w:id="3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Інша інформація про дисципліну (технічне та програмне забезпечення дисципліни тощо)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D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Політика щодо академічної доброчесності </w:t>
            </w:r>
          </w:p>
          <w:p w:rsidR="00000000" w:rsidDel="00000000" w:rsidP="00000000" w:rsidRDefault="00000000" w:rsidRPr="00000000" w14:paraId="0000005E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Усі види письмових робіт перевіряються на наявність плагіату і є такими, що виконані при наявності не менше 80% оригінальності авторського тексту. Списування під час виконання письмових контрольних видів робіт заборонено. Користуватися мобільними пристроями під час проведення різних видів контролю успішності, дозволяється лише з дозволу викладача. </w:t>
            </w:r>
          </w:p>
          <w:p w:rsidR="00000000" w:rsidDel="00000000" w:rsidP="00000000" w:rsidRDefault="00000000" w:rsidRPr="00000000" w14:paraId="0000005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0563c1"/>
                  <w:sz w:val="24"/>
                  <w:szCs w:val="24"/>
                  <w:u w:val="single"/>
                  <w:rtl w:val="0"/>
                </w:rPr>
                <w:t xml:space="preserve">Положення про академічну доброчесність в ЗУІ 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0563c1"/>
                  <w:sz w:val="24"/>
                  <w:szCs w:val="24"/>
                  <w:u w:val="single"/>
                  <w:rtl w:val="0"/>
                </w:rPr>
                <w:t xml:space="preserve">Положення про систему внутрішнього забезпечення якості освіти в ЗУІ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Технічне та програмне забезпечення </w:t>
            </w:r>
          </w:p>
          <w:p w:rsidR="00000000" w:rsidDel="00000000" w:rsidP="00000000" w:rsidRDefault="00000000" w:rsidRPr="00000000" w14:paraId="00000063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Викладання навчальної дисципліни відбувається на основі таких складових методичного забезпечення:</w:t>
            </w:r>
          </w:p>
          <w:p w:rsidR="00000000" w:rsidDel="00000000" w:rsidP="00000000" w:rsidRDefault="00000000" w:rsidRPr="00000000" w14:paraId="0000006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Symbol" w:cs="Symbol" w:eastAsia="Symbol" w:hAnsi="Symbol"/>
                <w:sz w:val="24"/>
                <w:szCs w:val="24"/>
                <w:rtl w:val="0"/>
              </w:rPr>
              <w:t xml:space="preserve">∙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друковані джерела, що відображають зміст науки ;</w:t>
            </w:r>
          </w:p>
          <w:p w:rsidR="00000000" w:rsidDel="00000000" w:rsidP="00000000" w:rsidRDefault="00000000" w:rsidRPr="00000000" w14:paraId="0000006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Symbol" w:cs="Symbol" w:eastAsia="Symbol" w:hAnsi="Symbol"/>
                <w:sz w:val="24"/>
                <w:szCs w:val="24"/>
                <w:rtl w:val="0"/>
              </w:rPr>
              <w:t xml:space="preserve">∙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електронні джерела, що відображають зміст науки, </w:t>
            </w:r>
          </w:p>
          <w:p w:rsidR="00000000" w:rsidDel="00000000" w:rsidP="00000000" w:rsidRDefault="00000000" w:rsidRPr="00000000" w14:paraId="0000006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Symbol" w:cs="Symbol" w:eastAsia="Symbol" w:hAnsi="Symbol"/>
                <w:sz w:val="24"/>
                <w:szCs w:val="24"/>
                <w:rtl w:val="0"/>
              </w:rPr>
              <w:t xml:space="preserve">∙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практичні завдання. </w:t>
            </w:r>
          </w:p>
          <w:p w:rsidR="00000000" w:rsidDel="00000000" w:rsidP="00000000" w:rsidRDefault="00000000" w:rsidRPr="00000000" w14:paraId="0000006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Symbol" w:cs="Symbol" w:eastAsia="Symbol" w:hAnsi="Symbol"/>
                <w:sz w:val="24"/>
                <w:szCs w:val="24"/>
                <w:rtl w:val="0"/>
              </w:rPr>
              <w:t xml:space="preserve">∙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мультимедійні презентації до навчальних занять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69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Рекомендовані джерела (основна та допоміжна література), електронні інформаційні ресурси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A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Лекції з теорії і методів вибіркових обстежень : навчальний посібник / О. І. Василик, Т. О. Яковенко. – К. : Видавничо-поліграфічний центр “Київський університет”, 2010. – 208 с.</w:t>
            </w:r>
          </w:p>
          <w:p w:rsidR="00000000" w:rsidDel="00000000" w:rsidP="00000000" w:rsidRDefault="00000000" w:rsidRPr="00000000" w14:paraId="0000006B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Пархоменко В.М.. Методи вибіркових обстежень: Навчальний посібник. – К:., 2001. – 148 с.</w:t>
            </w:r>
          </w:p>
          <w:p w:rsidR="00000000" w:rsidDel="00000000" w:rsidP="00000000" w:rsidRDefault="00000000" w:rsidRPr="00000000" w14:paraId="0000006C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Осипчук М.М. Статистичні методи соціальних досліджень : Навчально-методичний посібник. – Івано-Франківськ: ПНУ, 2009. – 48с.</w:t>
            </w:r>
          </w:p>
          <w:p w:rsidR="00000000" w:rsidDel="00000000" w:rsidP="00000000" w:rsidRDefault="00000000" w:rsidRPr="00000000" w14:paraId="0000006D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Tille Y., Ardilly P. Sampling Methods: Exercises and Solutions. – Springer, 2006. – 382 p.</w:t>
            </w:r>
          </w:p>
          <w:p w:rsidR="00000000" w:rsidDel="00000000" w:rsidP="00000000" w:rsidRDefault="00000000" w:rsidRPr="00000000" w14:paraId="0000006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Symbo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u-HU"/>
      </w:rPr>
    </w:rPrDefault>
    <w:pPrDefault>
      <w:pPr>
        <w:spacing w:after="160" w:line="25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l" w:default="1">
    <w:name w:val="Normal"/>
    <w:qFormat w:val="1"/>
    <w:rsid w:val="00DF15B7"/>
    <w:pPr>
      <w:spacing w:line="256" w:lineRule="auto"/>
    </w:pPr>
    <w:rPr>
      <w:lang w:val="hu-HU"/>
    </w:rPr>
  </w:style>
  <w:style w:type="character" w:styleId="Bekezdsalapbettpusa" w:default="1">
    <w:name w:val="Default Paragraph Font"/>
    <w:uiPriority w:val="1"/>
    <w:semiHidden w:val="1"/>
    <w:unhideWhenUsed w:val="1"/>
  </w:style>
  <w:style w:type="table" w:styleId="Normltblzat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mlista" w:default="1">
    <w:name w:val="No List"/>
    <w:uiPriority w:val="99"/>
    <w:semiHidden w:val="1"/>
    <w:unhideWhenUsed w:val="1"/>
  </w:style>
  <w:style w:type="character" w:styleId="Hiperhivatkozs">
    <w:name w:val="Hyperlink"/>
    <w:basedOn w:val="Bekezdsalapbettpusa"/>
    <w:uiPriority w:val="99"/>
    <w:semiHidden w:val="1"/>
    <w:unhideWhenUsed w:val="1"/>
    <w:rsid w:val="00DF15B7"/>
    <w:rPr>
      <w:color w:val="0563c1" w:themeColor="hyperlink"/>
      <w:u w:val="single"/>
    </w:rPr>
  </w:style>
  <w:style w:type="paragraph" w:styleId="Listaszerbekezds">
    <w:name w:val="List Paragraph"/>
    <w:basedOn w:val="Norml"/>
    <w:qFormat w:val="1"/>
    <w:rsid w:val="00DF15B7"/>
    <w:pPr>
      <w:ind w:left="720"/>
      <w:contextualSpacing w:val="1"/>
    </w:pPr>
  </w:style>
  <w:style w:type="paragraph" w:styleId="Default" w:customStyle="1">
    <w:name w:val="Default"/>
    <w:rsid w:val="00DF15B7"/>
    <w:pPr>
      <w:autoSpaceDE w:val="0"/>
      <w:autoSpaceDN w:val="0"/>
      <w:adjustRightInd w:val="0"/>
      <w:spacing w:after="0" w:line="240" w:lineRule="auto"/>
    </w:pPr>
    <w:rPr>
      <w:rFonts w:ascii="Times New Roman" w:cs="Times New Roman" w:eastAsia="Times New Roman" w:hAnsi="Times New Roman"/>
      <w:color w:val="000000"/>
      <w:sz w:val="24"/>
      <w:szCs w:val="24"/>
      <w:lang w:eastAsia="hu-HU" w:val="hu-HU"/>
    </w:rPr>
  </w:style>
  <w:style w:type="table" w:styleId="Rcsostblzat">
    <w:name w:val="Table Grid"/>
    <w:basedOn w:val="Normltblzat"/>
    <w:uiPriority w:val="39"/>
    <w:rsid w:val="00DF15B7"/>
    <w:pPr>
      <w:spacing w:after="0" w:line="240" w:lineRule="auto"/>
    </w:pPr>
    <w:rPr>
      <w:lang w:val="hu-HU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kmf.uz.ua/wp-content/uploads/2019/11/Pol_akad_dobr_ZUI_2019.pdf" TargetMode="External"/><Relationship Id="rId8" Type="http://schemas.openxmlformats.org/officeDocument/2006/relationships/hyperlink" Target="http://kmf.uz.ua/wp-content/uploads/2019/11/Pol_yak_osv_ZUI_2019.pdf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RyRdrXXj2BkqYfnThzCo6GRg6w==">AMUW2mW18kmJUVXRTP0DyFToJgYSt+Gl2+jl3j9HJ2m0qtU+cg4HTOAoR5iP3UIxtVCQmrQYlHBuDzAubyHXHVhCcwOcPCXanuisvTHm5hMaOtcRDHg7hYWi8Ii905KISKxo0YMcqT3i3ZWl89tTB7PKFDreAj6OjSNxp+04NWtZQpxztPuT4AU=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2021-08-24T19:34:00Z</dcterms:created>
  <dc:creator>Пользователь Windows</dc:creator>
</cp:coreProperties>
</file>