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Rákóci Ferenc Kárpátaljai Magyar Főiskola</w:t>
      </w:r>
    </w:p>
    <w:tbl>
      <w:tblPr>
        <w:tblStyle w:val="Table1"/>
        <w:tblW w:w="957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4"/>
        <w:gridCol w:w="1348"/>
        <w:gridCol w:w="1636"/>
        <w:gridCol w:w="1535"/>
        <w:gridCol w:w="1803"/>
        <w:gridCol w:w="1496"/>
        <w:tblGridChange w:id="0">
          <w:tblGrid>
            <w:gridCol w:w="1754"/>
            <w:gridCol w:w="1348"/>
            <w:gridCol w:w="1636"/>
            <w:gridCol w:w="1535"/>
            <w:gridCol w:w="1803"/>
            <w:gridCol w:w="1496"/>
          </w:tblGrid>
        </w:tblGridChange>
      </w:tblGrid>
      <w:tr>
        <w:trPr>
          <w:cantSplit w:val="0"/>
          <w:trHeight w:val="1453" w:hRule="atLeast"/>
          <w:tblHeader w:val="0"/>
        </w:trPr>
        <w:tc>
          <w:tcPr>
            <w:vAlign w:val="center"/>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szint</w:t>
            </w:r>
          </w:p>
        </w:tc>
        <w:tc>
          <w:tcPr>
            <w:vAlign w:val="center"/>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Tagozat</w:t>
            </w:r>
          </w:p>
        </w:tc>
        <w:tc>
          <w:tcPr>
            <w:vAlign w:val="center"/>
          </w:tcPr>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Nappali</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Levelező</w:t>
            </w:r>
          </w:p>
        </w:tc>
        <w:tc>
          <w:tcPr>
            <w:vAlign w:val="center"/>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Tanév/félév</w:t>
            </w:r>
          </w:p>
        </w:tc>
        <w:tc>
          <w:tcPr>
            <w:vAlign w:val="center"/>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tc>
      </w:tr>
    </w:tbl>
    <w:p w:rsidR="00000000" w:rsidDel="00000000" w:rsidP="00000000" w:rsidRDefault="00000000" w:rsidRPr="00000000" w14:paraId="0000000A">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Tantárgyleírás</w:t>
      </w: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343"/>
        <w:tblGridChange w:id="0">
          <w:tblGrid>
            <w:gridCol w:w="3150"/>
            <w:gridCol w:w="6343"/>
          </w:tblGrid>
        </w:tblGridChange>
      </w:tblGrid>
      <w:tr>
        <w:trPr>
          <w:cantSplit w:val="0"/>
          <w:tblHeader w:val="0"/>
        </w:trPr>
        <w:tc>
          <w:tcPr>
            <w:shd w:fill="d9d9d9" w:val="clear"/>
          </w:tcPr>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címe</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Távoktatási rendszerek</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Tanszék</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Matematika és informatika</w:t>
            </w:r>
          </w:p>
        </w:tc>
      </w:tr>
      <w:tr>
        <w:trPr>
          <w:cantSplit w:val="0"/>
          <w:tblHeader w:val="0"/>
        </w:trPr>
        <w:tc>
          <w:tcPr>
            <w:shd w:fill="d9d9d9" w:val="clear"/>
          </w:tcPr>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program</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típusa, kreditértéke, óraszáma (előadás/szeminárium/önálló munka)</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(kötelező vagy választható): választható</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Kreditérték: 4</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Előadás: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Szeminárium/gyakorlat: 30 óra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Laboratóriumi munka: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Önálló munka: 90 óra</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Tárgyfelelős oktató(k) (név, tudományos fokozat, tudományos cím, e-mail cím)</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Beregszászi István</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beregszaszi.istvan@kmf.org.ua</w:t>
            </w:r>
          </w:p>
        </w:tc>
      </w:tr>
      <w:tr>
        <w:trPr>
          <w:cantSplit w:val="0"/>
          <w:tblHeader w:val="0"/>
        </w:trPr>
        <w:tc>
          <w:tcPr>
            <w:shd w:fill="d9d9d9" w:val="clear"/>
          </w:tcPr>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előkövetelményei</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 célja, várható eredményei, főbb témakörei</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tárgyát képezik az oktatáskezelő rendszerek, egyebek mellett azok oktatási intézményekben való alkalmazásának aktuális kérdései és feladatai, az e-learning szoftverrendszerek fejlődésének korszerű tendenciái, a modern webalapú oktatáskezelő rendszerek összehasonlító elemzése, gyakorlati készégek és képességek kialakítása, valamint a tudományos kutatás elősegítése a távoktatás szoftverplatformok alkalmazásával.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Célok:</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„Távoktatási rendszerek” olyan ismeretek, készségek és képességek kialakítása tűzi ki célul, amelyek segítségével meg lehet ismerkedni az online kurzusok és oktatási honlapok kidolgozásának környezeteivel, az távoktatási kurzus kialakítását valamelyik tanuláskezelő rendszerben (Moodle, Google Classroom, MS Teams, Blackboard, ATutor, eFront stb.), továbbá tanulmányozni az e-learning-el elősegített elektronikus oktatás digitális támogatásának lehetőségeit.</w:t>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Feladatok:</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alkalmazni az e-learning távoktatást biztosító felhasználói szoftvereit, a hibridoktatási környezet kialakítását, az adatok elemzését és vizualizációját;</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képesnek lenni megtervezni és adminisztrálni tanuláskezelő információs rendszereket, a távoktatási rendszerek lehetőségeinek elemzését és alkalmazását az oktatásszervezésben;</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kritikusan elemezni és szintetizálni az innovatív oktatási technológiákat, biztosítani és felügyelni az oktatási folyamat minőségét;</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megoldani az intézmény oktatási rendszerében felmerülő tudásfrissítést és tudásintegrációt igénylő feladatokat;</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alkalmazni a pedagógiai gyakorlat elméleti és gyakorlati vívmányait az oktatási és tudásfejlesztési elektronikus oktatási programok tervezése során, központi helyre helyezve a diákcentrikusságot.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kurzus során a hallgató által elsajátítandó általános és szakmai kompetenciák: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Általános kompetenciák:</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AК 2. Képesség a modern ismeretek elsajátítására, az ismeretek gyakorlati alkalmazására.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AК 5. Képesség különböző forrásokból adatkonvertálásra információs folyamatok segítségével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AК 6 Az információs és kommunikációs technológiák használatának készségei.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A2.5 képesség a hallgatók kritikai gondolkodásának fejlesztésére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A3.2 képesség a meglévő és új elektronikus (digitális) oktatási erőforrások hatékony felhasználására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Szakmai (speciális) kompetenciák:</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SzК 1. Az informatika terén új ismeretek felhasználásának és létrehozásának képessége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SzК 10 Képesség a digitális technológiák alkalmazására az informatika és a matematika területén.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SzК 11 képesség a gépi tanulási rendszerek elmélete és gyakorlata alapjainak alkalmazására.</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program elsajátításának eredményei:</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РR1 A biztonsági és jogi információ tartalmának és általános tulajdonságainak megértése, különös tekintettel az adatvédelmi kérdésekre és a szellemi tulajdonjogokra.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РR16 Végezze el az adatátalakítást különböző forrásokból az információs folyamatok segítségével, használja a digitális technológiákat az oktatási folyamatban az oktatás/pedagógia területén.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РR17 Módszertan és tudományos kutatás digitális technológiáinak alkalmazása az oktatás/pedagógia területén, a középfokú informatika és matematika tantárgyak oktatásában.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kurzus tematikája</w:t>
            </w: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modul. Távoktatási rendszerek</w:t>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tartalmi modul. Távoktatási rendszerek</w:t>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851"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téma.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Tanuláskezelő rendszerek (Learning Management Systems – LMS).</w:t>
            </w:r>
          </w:p>
          <w:p w:rsidR="00000000" w:rsidDel="00000000" w:rsidP="00000000" w:rsidRDefault="00000000" w:rsidRPr="00000000" w14:paraId="00000051">
            <w:pPr>
              <w:ind w:left="842" w:hanging="8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téma.</w:t>
            </w:r>
            <w:r w:rsidDel="00000000" w:rsidR="00000000" w:rsidRPr="00000000">
              <w:rPr>
                <w:rFonts w:ascii="Times New Roman" w:cs="Times New Roman" w:eastAsia="Times New Roman" w:hAnsi="Times New Roman"/>
                <w:sz w:val="24"/>
                <w:szCs w:val="24"/>
                <w:rtl w:val="0"/>
              </w:rPr>
              <w:t xml:space="preserve"> Tartalomkezelő rendszerek (Content Management System –CMS).</w:t>
            </w:r>
          </w:p>
          <w:p w:rsidR="00000000" w:rsidDel="00000000" w:rsidP="00000000" w:rsidRDefault="00000000" w:rsidRPr="00000000" w14:paraId="00000052">
            <w:pPr>
              <w:ind w:left="842" w:hanging="8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téma.</w:t>
            </w:r>
            <w:r w:rsidDel="00000000" w:rsidR="00000000" w:rsidRPr="00000000">
              <w:rPr>
                <w:rFonts w:ascii="Times New Roman" w:cs="Times New Roman" w:eastAsia="Times New Roman" w:hAnsi="Times New Roman"/>
                <w:sz w:val="24"/>
                <w:szCs w:val="24"/>
                <w:rtl w:val="0"/>
              </w:rPr>
              <w:t xml:space="preserve"> Virtuális tanulási környezetek (Virtual Learning Environments – VLE).</w:t>
            </w:r>
          </w:p>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modul. Jogi szabályozás</w:t>
            </w:r>
          </w:p>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tartalmi modul. Jogi szabályozás</w:t>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ind w:left="851" w:hanging="8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téma.</w:t>
            </w:r>
            <w:r w:rsidDel="00000000" w:rsidR="00000000" w:rsidRPr="00000000">
              <w:rPr>
                <w:rFonts w:ascii="Times New Roman" w:cs="Times New Roman" w:eastAsia="Times New Roman" w:hAnsi="Times New Roman"/>
                <w:sz w:val="24"/>
                <w:szCs w:val="24"/>
                <w:rtl w:val="0"/>
              </w:rPr>
              <w:t xml:space="preserve"> Az oktatási intézmények távoktatási rendszerei szervezésének jogi szabályozása az Ukrajnai jogrendszerben.</w:t>
            </w:r>
          </w:p>
          <w:p w:rsidR="00000000" w:rsidDel="00000000" w:rsidP="00000000" w:rsidRDefault="00000000" w:rsidRPr="00000000" w14:paraId="00000058">
            <w:pPr>
              <w:ind w:left="851" w:hanging="8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 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Oktatásszervezés e-learning rendszerekkel.</w:t>
            </w:r>
          </w:p>
          <w:p w:rsidR="00000000" w:rsidDel="00000000" w:rsidP="00000000" w:rsidRDefault="00000000" w:rsidRPr="00000000" w14:paraId="0000005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modul. A távoktatás alapelvei</w:t>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tartalmi modul. A távoktatás alapelvei</w:t>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842" w:hanging="8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 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Az elektronikus oktatási kurzus Bloom-féle taxonómiájának alkalmazása az oktatási célok és feladatok megvalósítása során.</w:t>
            </w:r>
          </w:p>
          <w:p w:rsidR="00000000" w:rsidDel="00000000" w:rsidP="00000000" w:rsidRDefault="00000000" w:rsidRPr="00000000" w14:paraId="0000005E">
            <w:pPr>
              <w:ind w:left="842" w:hanging="8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 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távoktatás egységes rendszere.</w:t>
            </w:r>
          </w:p>
          <w:p w:rsidR="00000000" w:rsidDel="00000000" w:rsidP="00000000" w:rsidRDefault="00000000" w:rsidRPr="00000000" w14:paraId="0000005F">
            <w:pPr>
              <w:ind w:left="842" w:hanging="8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Elektronikus oktatási anyagok.</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color w:val="000000"/>
                <w:sz w:val="24"/>
                <w:szCs w:val="24"/>
                <w:rtl w:val="0"/>
              </w:rPr>
              <w:t xml:space="preserve"> 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Az oktatáskezelés rendszerkörnyezete.</w:t>
            </w:r>
          </w:p>
          <w:p w:rsidR="00000000" w:rsidDel="00000000" w:rsidP="00000000" w:rsidRDefault="00000000" w:rsidRPr="00000000" w14:paraId="0000006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modul. Web-alapú tanuláskezelő rendszerek</w:t>
            </w:r>
          </w:p>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tartalmi modul. Web-alapú tanuláskezelő rendszerek</w:t>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ind w:left="993" w:hanging="9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b w:val="1"/>
                <w:color w:val="000000"/>
                <w:sz w:val="24"/>
                <w:szCs w:val="24"/>
                <w:rtl w:val="0"/>
              </w:rPr>
              <w:t xml:space="preserve">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Néhány</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web-alapú tanuláskezelő rendszer összehasonlító elemzése: Moodle, Google Classroom, MS Teams, Blackboard, ATutor, eFront.</w:t>
            </w:r>
          </w:p>
          <w:p w:rsidR="00000000" w:rsidDel="00000000" w:rsidP="00000000" w:rsidRDefault="00000000" w:rsidRPr="00000000" w14:paraId="00000066">
            <w:pPr>
              <w:ind w:left="993" w:hanging="9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téma. </w:t>
            </w:r>
            <w:r w:rsidDel="00000000" w:rsidR="00000000" w:rsidRPr="00000000">
              <w:rPr>
                <w:rFonts w:ascii="Times New Roman" w:cs="Times New Roman" w:eastAsia="Times New Roman" w:hAnsi="Times New Roman"/>
                <w:sz w:val="24"/>
                <w:szCs w:val="24"/>
                <w:rtl w:val="0"/>
              </w:rPr>
              <w:t xml:space="preserve">A kurzus tananyagainak digitális adatbázisa.</w:t>
            </w:r>
          </w:p>
          <w:p w:rsidR="00000000" w:rsidDel="00000000" w:rsidP="00000000" w:rsidRDefault="00000000" w:rsidRPr="00000000" w14:paraId="00000067">
            <w:pPr>
              <w:ind w:left="993" w:hanging="9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virtuális laboratóriumok és alkalmazásuk sajátosságai.</w:t>
            </w:r>
          </w:p>
          <w:p w:rsidR="00000000" w:rsidDel="00000000" w:rsidP="00000000" w:rsidRDefault="00000000" w:rsidRPr="00000000" w14:paraId="00000068">
            <w:pPr>
              <w:ind w:left="993" w:hanging="9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b w:val="1"/>
                <w:color w:val="000000"/>
                <w:sz w:val="24"/>
                <w:szCs w:val="24"/>
                <w:rtl w:val="0"/>
              </w:rPr>
              <w:t xml:space="preserve">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Az e-learning rendszerek interaktív kommunikációjának szervezése: „diák-diák”, „diák-tanár”, „tanár-diák” kapcsolatokban (chat, fórum, blog, személyes üzenetek, feleltetések, megjegyzések, videókonferenciák stb.).</w:t>
            </w:r>
          </w:p>
          <w:p w:rsidR="00000000" w:rsidDel="00000000" w:rsidP="00000000" w:rsidRDefault="00000000" w:rsidRPr="00000000" w14:paraId="00000069">
            <w:pPr>
              <w:ind w:left="993" w:hanging="9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b w:val="1"/>
                <w:color w:val="000000"/>
                <w:sz w:val="24"/>
                <w:szCs w:val="24"/>
                <w:rtl w:val="0"/>
              </w:rPr>
              <w:t xml:space="preserve">téma.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távoktatás minőségbiztosítása.</w:t>
            </w:r>
          </w:p>
          <w:p w:rsidR="00000000" w:rsidDel="00000000" w:rsidP="00000000" w:rsidRDefault="00000000" w:rsidRPr="00000000" w14:paraId="0000006A">
            <w:pPr>
              <w:ind w:left="993" w:hanging="992"/>
              <w:rPr>
                <w:sz w:val="24"/>
                <w:szCs w:val="24"/>
              </w:rPr>
            </w:pPr>
            <w:r w:rsidDel="00000000" w:rsidR="00000000" w:rsidRPr="00000000">
              <w:rPr>
                <w:rFonts w:ascii="Times New Roman" w:cs="Times New Roman" w:eastAsia="Times New Roman" w:hAnsi="Times New Roman"/>
                <w:b w:val="1"/>
                <w:sz w:val="24"/>
                <w:szCs w:val="24"/>
                <w:rtl w:val="0"/>
              </w:rPr>
              <w:t xml:space="preserve">15. téma. </w:t>
            </w:r>
            <w:r w:rsidDel="00000000" w:rsidR="00000000" w:rsidRPr="00000000">
              <w:rPr>
                <w:rFonts w:ascii="Times New Roman" w:cs="Times New Roman" w:eastAsia="Times New Roman" w:hAnsi="Times New Roman"/>
                <w:sz w:val="24"/>
                <w:szCs w:val="24"/>
                <w:rtl w:val="0"/>
              </w:rPr>
              <w:t xml:space="preserve">Az e-learning rendszerekkel biztosított távoktatásban résztvevők teljesítményének mérése és értékelése.</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teljesítésének és értékelésének feltételei</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beszámolóval zárul.</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képzésben résztvevő hallgatók tanulmányi eredményei  «</w:t>
            </w:r>
            <w:r w:rsidDel="00000000" w:rsidR="00000000" w:rsidRPr="00000000">
              <w:rPr>
                <w:rtl w:val="0"/>
              </w:rPr>
              <w:t xml:space="preserve"> az adott</w:t>
            </w:r>
            <w:r w:rsidDel="00000000" w:rsidR="00000000" w:rsidRPr="00000000">
              <w:rPr>
                <w:rFonts w:ascii="Times New Roman" w:cs="Times New Roman" w:eastAsia="Times New Roman" w:hAnsi="Times New Roman"/>
                <w:sz w:val="24"/>
                <w:szCs w:val="24"/>
                <w:rtl w:val="0"/>
              </w:rPr>
              <w:t xml:space="preserve"> tárgyból kredit alapú moduláris rendszerben kerül osztályozásra az alábbi táblázat alapján.</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tbl>
            <w:tblPr>
              <w:tblStyle w:val="Table3"/>
              <w:tblW w:w="553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7"/>
              <w:gridCol w:w="1016"/>
              <w:gridCol w:w="1594"/>
              <w:gridCol w:w="1594"/>
              <w:tblGridChange w:id="0">
                <w:tblGrid>
                  <w:gridCol w:w="1327"/>
                  <w:gridCol w:w="1016"/>
                  <w:gridCol w:w="1594"/>
                  <w:gridCol w:w="1594"/>
                </w:tblGrid>
              </w:tblGridChange>
            </w:tblGrid>
            <w:tr>
              <w:trPr>
                <w:cantSplit w:val="0"/>
                <w:trHeight w:val="415" w:hRule="atLeast"/>
                <w:tblHeader w:val="0"/>
              </w:trPr>
              <w:tc>
                <w:tcPr>
                  <w:vMerge w:val="restart"/>
                  <w:vAlign w:val="center"/>
                </w:tcPr>
                <w:p w:rsidR="00000000" w:rsidDel="00000000" w:rsidP="00000000" w:rsidRDefault="00000000" w:rsidRPr="00000000" w14:paraId="0000007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Tanulmányi összpontszám</w:t>
                  </w:r>
                </w:p>
              </w:tc>
              <w:tc>
                <w:tcPr>
                  <w:vMerge w:val="restart"/>
                  <w:vAlign w:val="center"/>
                </w:tcPr>
                <w:p w:rsidR="00000000" w:rsidDel="00000000" w:rsidP="00000000" w:rsidRDefault="00000000" w:rsidRPr="00000000" w14:paraId="0000007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ECTS osztályzat</w:t>
                  </w:r>
                </w:p>
              </w:tc>
              <w:tc>
                <w:tcPr>
                  <w:gridSpan w:val="2"/>
                  <w:vAlign w:val="center"/>
                </w:tcPr>
                <w:p w:rsidR="00000000" w:rsidDel="00000000" w:rsidP="00000000" w:rsidRDefault="00000000" w:rsidRPr="00000000" w14:paraId="0000007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Osztályzat a nemzeti skála szerint</w:t>
                  </w:r>
                </w:p>
              </w:tc>
            </w:tr>
            <w:tr>
              <w:trPr>
                <w:cantSplit w:val="0"/>
                <w:trHeight w:val="1070" w:hRule="atLeast"/>
                <w:tblHeader w:val="0"/>
              </w:trPr>
              <w:tc>
                <w:tcPr>
                  <w:vMerge w:val="continue"/>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8">
                  <w:pPr>
                    <w:spacing w:line="240" w:lineRule="auto"/>
                    <w:ind w:right="-14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vizsga, évfolyammunka és gyakorlat esetén</w:t>
                  </w:r>
                </w:p>
              </w:tc>
              <w:tc>
                <w:tcPr>
                  <w:shd w:fill="auto" w:val="clear"/>
                  <w:vAlign w:val="center"/>
                </w:tcPr>
                <w:p w:rsidR="00000000" w:rsidDel="00000000" w:rsidP="00000000" w:rsidRDefault="00000000" w:rsidRPr="00000000" w14:paraId="0000007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beszámoló esetén</w:t>
                  </w:r>
                </w:p>
              </w:tc>
            </w:tr>
            <w:tr>
              <w:trPr>
                <w:cantSplit w:val="0"/>
                <w:trHeight w:val="166" w:hRule="atLeast"/>
                <w:tblHeader w:val="0"/>
              </w:trPr>
              <w:tc>
                <w:tcPr>
                  <w:vAlign w:val="center"/>
                </w:tcPr>
                <w:p w:rsidR="00000000" w:rsidDel="00000000" w:rsidP="00000000" w:rsidRDefault="00000000" w:rsidRPr="00000000" w14:paraId="0000007A">
                  <w:pPr>
                    <w:spacing w:line="240" w:lineRule="auto"/>
                    <w:ind w:left="18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90 – 100</w:t>
                  </w:r>
                  <w:r w:rsidDel="00000000" w:rsidR="00000000" w:rsidRPr="00000000">
                    <w:rPr>
                      <w:rtl w:val="0"/>
                    </w:rPr>
                  </w:r>
                </w:p>
              </w:tc>
              <w:tc>
                <w:tcPr>
                  <w:vAlign w:val="center"/>
                </w:tcPr>
                <w:p w:rsidR="00000000" w:rsidDel="00000000" w:rsidP="00000000" w:rsidRDefault="00000000" w:rsidRPr="00000000" w14:paraId="0000007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w:t>
                  </w:r>
                </w:p>
              </w:tc>
              <w:tc>
                <w:tcPr>
                  <w:vAlign w:val="center"/>
                </w:tcPr>
                <w:p w:rsidR="00000000" w:rsidDel="00000000" w:rsidP="00000000" w:rsidRDefault="00000000" w:rsidRPr="00000000" w14:paraId="0000007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jeles</w:t>
                  </w:r>
                </w:p>
              </w:tc>
              <w:tc>
                <w:tcPr>
                  <w:vMerge w:val="restart"/>
                  <w:vAlign w:val="center"/>
                </w:tcPr>
                <w:p w:rsidR="00000000" w:rsidDel="00000000" w:rsidP="00000000" w:rsidRDefault="00000000" w:rsidRPr="00000000" w14:paraId="0000007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megfelelt</w:t>
                  </w:r>
                </w:p>
              </w:tc>
            </w:tr>
            <w:tr>
              <w:trPr>
                <w:cantSplit w:val="0"/>
                <w:trHeight w:val="179" w:hRule="atLeast"/>
                <w:tblHeader w:val="0"/>
              </w:trPr>
              <w:tc>
                <w:tcPr>
                  <w:vAlign w:val="center"/>
                </w:tcPr>
                <w:p w:rsidR="00000000" w:rsidDel="00000000" w:rsidP="00000000" w:rsidRDefault="00000000" w:rsidRPr="00000000" w14:paraId="0000007E">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82-89</w:t>
                  </w:r>
                </w:p>
              </w:tc>
              <w:tc>
                <w:tcPr>
                  <w:vAlign w:val="center"/>
                </w:tcPr>
                <w:p w:rsidR="00000000" w:rsidDel="00000000" w:rsidP="00000000" w:rsidRDefault="00000000" w:rsidRPr="00000000" w14:paraId="0000007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w:t>
                  </w:r>
                </w:p>
              </w:tc>
              <w:tc>
                <w:tcPr>
                  <w:vMerge w:val="restart"/>
                  <w:vAlign w:val="center"/>
                </w:tcPr>
                <w:p w:rsidR="00000000" w:rsidDel="00000000" w:rsidP="00000000" w:rsidRDefault="00000000" w:rsidRPr="00000000" w14:paraId="0000008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jó</w:t>
                  </w:r>
                </w:p>
              </w:tc>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66" w:hRule="atLeast"/>
                <w:tblHeader w:val="0"/>
              </w:trPr>
              <w:tc>
                <w:tcPr>
                  <w:vAlign w:val="center"/>
                </w:tcPr>
                <w:p w:rsidR="00000000" w:rsidDel="00000000" w:rsidP="00000000" w:rsidRDefault="00000000" w:rsidRPr="00000000" w14:paraId="00000082">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75-81</w:t>
                  </w:r>
                </w:p>
              </w:tc>
              <w:tc>
                <w:tcPr>
                  <w:vAlign w:val="center"/>
                </w:tcPr>
                <w:p w:rsidR="00000000" w:rsidDel="00000000" w:rsidP="00000000" w:rsidRDefault="00000000" w:rsidRPr="00000000" w14:paraId="0000008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w:t>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175" w:hRule="atLeast"/>
                <w:tblHeader w:val="0"/>
              </w:trPr>
              <w:tc>
                <w:tcPr>
                  <w:vAlign w:val="center"/>
                </w:tcPr>
                <w:p w:rsidR="00000000" w:rsidDel="00000000" w:rsidP="00000000" w:rsidRDefault="00000000" w:rsidRPr="00000000" w14:paraId="00000086">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64-74</w:t>
                  </w:r>
                </w:p>
              </w:tc>
              <w:tc>
                <w:tcPr>
                  <w:vAlign w:val="center"/>
                </w:tcPr>
                <w:p w:rsidR="00000000" w:rsidDel="00000000" w:rsidP="00000000" w:rsidRDefault="00000000" w:rsidRPr="00000000" w14:paraId="0000008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w:t>
                  </w:r>
                </w:p>
              </w:tc>
              <w:tc>
                <w:tcPr>
                  <w:vMerge w:val="restart"/>
                  <w:vAlign w:val="center"/>
                </w:tcPr>
                <w:p w:rsidR="00000000" w:rsidDel="00000000" w:rsidP="00000000" w:rsidRDefault="00000000" w:rsidRPr="00000000" w14:paraId="0000008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elégséges</w:t>
                  </w:r>
                </w:p>
              </w:tc>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66" w:hRule="atLeast"/>
                <w:tblHeader w:val="0"/>
              </w:trPr>
              <w:tc>
                <w:tcPr>
                  <w:vAlign w:val="center"/>
                </w:tcPr>
                <w:p w:rsidR="00000000" w:rsidDel="00000000" w:rsidP="00000000" w:rsidRDefault="00000000" w:rsidRPr="00000000" w14:paraId="0000008A">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60-63</w:t>
                  </w:r>
                </w:p>
              </w:tc>
              <w:tc>
                <w:tcPr>
                  <w:vAlign w:val="center"/>
                </w:tcPr>
                <w:p w:rsidR="00000000" w:rsidDel="00000000" w:rsidP="00000000" w:rsidRDefault="00000000" w:rsidRPr="00000000" w14:paraId="0000008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 </w:t>
                  </w:r>
                </w:p>
              </w:tc>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8E">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35-59</w:t>
                  </w:r>
                </w:p>
              </w:tc>
              <w:tc>
                <w:tcPr>
                  <w:vAlign w:val="center"/>
                </w:tcPr>
                <w:p w:rsidR="00000000" w:rsidDel="00000000" w:rsidP="00000000" w:rsidRDefault="00000000" w:rsidRPr="00000000" w14:paraId="0000008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FX</w:t>
                  </w:r>
                </w:p>
              </w:tc>
              <w:tc>
                <w:tcPr>
                  <w:vAlign w:val="center"/>
                </w:tcPr>
                <w:p w:rsidR="00000000" w:rsidDel="00000000" w:rsidP="00000000" w:rsidRDefault="00000000" w:rsidRPr="00000000" w14:paraId="0000009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elégtelen a pótvizsga lehetőségével</w:t>
                  </w:r>
                </w:p>
              </w:tc>
              <w:tc>
                <w:tcPr>
                  <w:vAlign w:val="center"/>
                </w:tcPr>
                <w:p w:rsidR="00000000" w:rsidDel="00000000" w:rsidP="00000000" w:rsidRDefault="00000000" w:rsidRPr="00000000" w14:paraId="0000009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nem felelt meg, a pótbeszámoló lehetőségével</w:t>
                  </w:r>
                </w:p>
              </w:tc>
            </w:tr>
            <w:tr>
              <w:trPr>
                <w:cantSplit w:val="0"/>
                <w:trHeight w:val="653" w:hRule="atLeast"/>
                <w:tblHeader w:val="0"/>
              </w:trPr>
              <w:tc>
                <w:tcPr>
                  <w:vAlign w:val="center"/>
                </w:tcPr>
                <w:p w:rsidR="00000000" w:rsidDel="00000000" w:rsidP="00000000" w:rsidRDefault="00000000" w:rsidRPr="00000000" w14:paraId="00000092">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0-34</w:t>
                  </w:r>
                </w:p>
              </w:tc>
              <w:tc>
                <w:tcPr>
                  <w:vAlign w:val="center"/>
                </w:tcPr>
                <w:p w:rsidR="00000000" w:rsidDel="00000000" w:rsidP="00000000" w:rsidRDefault="00000000" w:rsidRPr="00000000" w14:paraId="0000009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w:t>
                  </w:r>
                </w:p>
              </w:tc>
              <w:tc>
                <w:tcPr>
                  <w:vAlign w:val="center"/>
                </w:tcPr>
                <w:p w:rsidR="00000000" w:rsidDel="00000000" w:rsidP="00000000" w:rsidRDefault="00000000" w:rsidRPr="00000000" w14:paraId="0000009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elégtelen, a tárgy újrafelvételének kötelezettségével</w:t>
                  </w:r>
                </w:p>
              </w:tc>
              <w:tc>
                <w:tcPr>
                  <w:vAlign w:val="center"/>
                </w:tcPr>
                <w:p w:rsidR="00000000" w:rsidDel="00000000" w:rsidP="00000000" w:rsidRDefault="00000000" w:rsidRPr="00000000" w14:paraId="0000009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nem felelt meg, a tárgy újrafelvételének kötelezettségével</w:t>
                  </w:r>
                </w:p>
              </w:tc>
            </w:tr>
          </w:tbl>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tanulmányi eredmények mérésére, általában, a következő módszerekkel történik:</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szóbeli(egyéni feladatok, frontális felelés);</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írásbeli (egyéni házi feladat, modulzáró dolgozat; önértékelés)</w:t>
            </w:r>
          </w:p>
        </w:tc>
      </w:tr>
      <w:tr>
        <w:trPr>
          <w:cantSplit w:val="0"/>
          <w:tblHeader w:val="0"/>
        </w:trPr>
        <w:tc>
          <w:tcPr>
            <w:shd w:fill="d9d9d9" w:val="clear"/>
          </w:tcPr>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tantárggyal kapcsolatos egyéb tudnivalók, követelmények</w:t>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Szerzői jogok megőrzésének biztosítás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írásbeli munkákat (szakdolgozat diplomamunka) plágium ellenőrző rendszerrel vizsgáljuk; legalább 80% saját munka esetén tekinthető sikeresnek. Bármiféle másolás évközi vagy félévvégi kontrol esetén is szigorúan tilos. Nem megengedett eszközök használata (pl. mobil telefonok) évközi vagy félévvégi kontrol esetén is szigorúan tilos.</w:t>
            </w:r>
          </w:p>
          <w:p w:rsidR="00000000" w:rsidDel="00000000" w:rsidP="00000000" w:rsidRDefault="00000000" w:rsidRPr="00000000" w14:paraId="0000009E">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Положення про академічну доброчесність в ЗУІ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Положення про систему внутрішнього забезпечення якості освіти в ЗУІ</w:t>
              </w:r>
            </w:hyperlink>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„Távoktatási rendszerek” tantárgy oktatása a módszertani támogatás következő elemein alapul:</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tantárgy tartalmát tükröző nyomtatott források;</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tantárgy tartalmát tükröző elektronikus források;</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feladatgyűjtemények;</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multimédiás eszközök.</w:t>
            </w:r>
          </w:p>
        </w:tc>
      </w:tr>
      <w:tr>
        <w:trPr>
          <w:cantSplit w:val="0"/>
          <w:tblHeader w:val="0"/>
        </w:trPr>
        <w:tc>
          <w:tcPr>
            <w:shd w:fill="d9d9d9" w:val="clear"/>
          </w:tcPr>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alapvető irodalma és digitális segédanyagok </w:t>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9">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Василів В., Костюкевич Р. Особливості управління проектом побудови інтегрованої системи управління навчальним процесом у НУВГП. Нова педагогічна думка: Науковометодичний журнал. Рівне, 2012. № 1. С. 231-237 </w:t>
            </w:r>
          </w:p>
          <w:p w:rsidR="00000000" w:rsidDel="00000000" w:rsidP="00000000" w:rsidRDefault="00000000" w:rsidRPr="00000000" w14:paraId="000000AA">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Fendo O., Pudchenko S. (2018). Virtual laboratories as innovative educational Technologies in Higher Educational Institutions. Intercultural Communication, ISSN 2451-0998, vol. 2(5) 2018, pp. 175 – 190. DOI: 10.13166/inco/94707 </w:t>
            </w:r>
          </w:p>
          <w:p w:rsidR="00000000" w:rsidDel="00000000" w:rsidP="00000000" w:rsidRDefault="00000000" w:rsidRPr="00000000" w14:paraId="000000AB">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Мошкина Е., Смолянинова О. Модель организации учебного процесса-заочников, основанная на использовании электронной системы управления обучением Moodle. Дистанционное и виртуальное обучение. 2012. № 11. C. 37-45 </w:t>
            </w:r>
          </w:p>
          <w:p w:rsidR="00000000" w:rsidDel="00000000" w:rsidP="00000000" w:rsidRDefault="00000000" w:rsidRPr="00000000" w14:paraId="000000AC">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Internet és multimédia a távoktatásban eduline.hu/segedanyagtalalatok/letolt/3850</w:t>
            </w:r>
          </w:p>
          <w:p w:rsidR="00000000" w:rsidDel="00000000" w:rsidP="00000000" w:rsidRDefault="00000000" w:rsidRPr="00000000" w14:paraId="000000AD">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Lengyel Zsuzsanna Mária E-learning: tanulás a világhálón keresztül, Debrecen, 2007.</w:t>
            </w:r>
          </w:p>
          <w:p w:rsidR="00000000" w:rsidDel="00000000" w:rsidP="00000000" w:rsidRDefault="00000000" w:rsidRPr="00000000" w14:paraId="000000AE">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E-learning keretrendszerek használatának lehetősége az iskolákban. https://www.oktatas.hu/pub_bin/dload/kozoktatas/pok/ Budapest/szaktanacsadoi_anyagok/ informatika_lms_rendszerek.pdf</w:t>
            </w:r>
          </w:p>
          <w:p w:rsidR="00000000" w:rsidDel="00000000" w:rsidP="00000000" w:rsidRDefault="00000000" w:rsidRPr="00000000" w14:paraId="000000AF">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KMF oktatási segédleti honlapja: http://okt.kmf.uz.ua/dw/</w:t>
            </w:r>
          </w:p>
          <w:p w:rsidR="00000000" w:rsidDel="00000000" w:rsidP="00000000" w:rsidRDefault="00000000" w:rsidRPr="00000000" w14:paraId="000000B0">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KMF gyakorló távoktatási porálja: http://ml.kmf.uz.ua/moodle/</w:t>
            </w:r>
          </w:p>
          <w:p w:rsidR="00000000" w:rsidDel="00000000" w:rsidP="00000000" w:rsidRDefault="00000000" w:rsidRPr="00000000" w14:paraId="000000B1">
            <w:pPr>
              <w:widowControl w:val="0"/>
              <w:numPr>
                <w:ilvl w:val="0"/>
                <w:numId w:val="1"/>
              </w:numPr>
              <w:shd w:fill="ffffff" w:val="clear"/>
              <w:tabs>
                <w:tab w:val="left" w:pos="426"/>
              </w:tabs>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KMF belső honlapja: http://kmtfm/</w:t>
            </w:r>
          </w:p>
          <w:p w:rsidR="00000000" w:rsidDel="00000000" w:rsidP="00000000" w:rsidRDefault="00000000" w:rsidRPr="00000000" w14:paraId="000000B2">
            <w:pPr>
              <w:ind w:left="426" w:firstLine="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sectPr>
      <w:headerReference r:id="rId9" w:type="default"/>
      <w:pgSz w:h="16838" w:w="11906" w:orient="portrait"/>
      <w:pgMar w:bottom="1417" w:top="56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JÓVÁHAGYTA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KMF Tudományos tanácsa</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 sz. jegyzőkönyv, 2020. december 23.</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Ф-ДК-РП1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80" w:hanging="360"/>
      </w:pPr>
      <w:rPr>
        <w:rFonts w:ascii="Times New Roman" w:cs="Times New Roman" w:eastAsia="Times New Roman" w:hAnsi="Times New Roman"/>
        <w:color w:val="000000"/>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4">
    <w:lvl w:ilvl="0">
      <w:start w:val="1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Rcsostblzat">
    <w:name w:val="Table Grid"/>
    <w:basedOn w:val="Normltblzat"/>
    <w:uiPriority w:val="39"/>
    <w:rsid w:val="00392D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fej">
    <w:name w:val="header"/>
    <w:basedOn w:val="Norml"/>
    <w:link w:val="lfejChar"/>
    <w:uiPriority w:val="99"/>
    <w:unhideWhenUsed w:val="1"/>
    <w:rsid w:val="0005502E"/>
    <w:pPr>
      <w:tabs>
        <w:tab w:val="center" w:pos="4536"/>
        <w:tab w:val="right" w:pos="9072"/>
      </w:tabs>
      <w:spacing w:after="0" w:line="240" w:lineRule="auto"/>
    </w:pPr>
  </w:style>
  <w:style w:type="character" w:styleId="lfejChar" w:customStyle="1">
    <w:name w:val="Élőfej Char"/>
    <w:basedOn w:val="Bekezdsalapbettpusa"/>
    <w:link w:val="lfej"/>
    <w:uiPriority w:val="99"/>
    <w:rsid w:val="0005502E"/>
  </w:style>
  <w:style w:type="paragraph" w:styleId="llb">
    <w:name w:val="footer"/>
    <w:basedOn w:val="Norml"/>
    <w:link w:val="llbChar"/>
    <w:uiPriority w:val="99"/>
    <w:unhideWhenUsed w:val="1"/>
    <w:rsid w:val="0005502E"/>
    <w:pPr>
      <w:tabs>
        <w:tab w:val="center" w:pos="4536"/>
        <w:tab w:val="right" w:pos="9072"/>
      </w:tabs>
      <w:spacing w:after="0" w:line="240" w:lineRule="auto"/>
    </w:pPr>
  </w:style>
  <w:style w:type="character" w:styleId="llbChar" w:customStyle="1">
    <w:name w:val="Élőláb Char"/>
    <w:basedOn w:val="Bekezdsalapbettpusa"/>
    <w:link w:val="llb"/>
    <w:uiPriority w:val="99"/>
    <w:rsid w:val="0005502E"/>
  </w:style>
  <w:style w:type="paragraph" w:styleId="Listaszerbekezds">
    <w:name w:val="List Paragraph"/>
    <w:basedOn w:val="Norml"/>
    <w:uiPriority w:val="34"/>
    <w:qFormat w:val="1"/>
    <w:rsid w:val="00A960FB"/>
    <w:pPr>
      <w:ind w:left="720"/>
      <w:contextualSpacing w:val="1"/>
    </w:pPr>
  </w:style>
  <w:style w:type="character" w:styleId="Hiperhivatkozs">
    <w:name w:val="Hyperlink"/>
    <w:basedOn w:val="Bekezdsalapbettpusa"/>
    <w:uiPriority w:val="99"/>
    <w:unhideWhenUsed w:val="1"/>
    <w:rsid w:val="00A960FB"/>
    <w:rPr>
      <w:color w:val="0563c1" w:themeColor="hyperlink"/>
      <w:u w:val="single"/>
    </w:rPr>
  </w:style>
  <w:style w:type="paragraph" w:styleId="Default" w:customStyle="1">
    <w:name w:val="Default"/>
    <w:rsid w:val="007363DB"/>
    <w:pPr>
      <w:autoSpaceDE w:val="0"/>
      <w:autoSpaceDN w:val="0"/>
      <w:adjustRightInd w:val="0"/>
      <w:spacing w:after="0" w:line="240" w:lineRule="auto"/>
    </w:pPr>
    <w:rPr>
      <w:rFonts w:ascii="Times New Roman" w:cs="Times New Roman" w:eastAsia="Times New Roman" w:hAnsi="Times New Roman"/>
      <w:color w:val="000000"/>
      <w:sz w:val="24"/>
      <w:szCs w:val="24"/>
      <w:lang w:eastAsia="hu-HU"/>
    </w:rPr>
  </w:style>
  <w:style w:type="character" w:styleId="Kiemels">
    <w:name w:val="Emphasis"/>
    <w:uiPriority w:val="20"/>
    <w:qFormat w:val="1"/>
    <w:rsid w:val="0003550C"/>
    <w:rPr>
      <w:i w:val="1"/>
      <w:iCs w:val="1"/>
    </w:rPr>
  </w:style>
  <w:style w:type="paragraph" w:styleId="Szvegtrzsbehzssal">
    <w:name w:val="Body Text Indent"/>
    <w:basedOn w:val="Norml"/>
    <w:link w:val="SzvegtrzsbehzssalChar"/>
    <w:rsid w:val="00632CAD"/>
    <w:pPr>
      <w:spacing w:after="0" w:line="240" w:lineRule="auto"/>
      <w:ind w:firstLine="540"/>
    </w:pPr>
    <w:rPr>
      <w:rFonts w:ascii="Times New Roman" w:cs="Times New Roman" w:eastAsia="Times New Roman" w:hAnsi="Times New Roman"/>
      <w:sz w:val="28"/>
      <w:szCs w:val="24"/>
      <w:lang w:eastAsia="ru-RU" w:val="uk-UA"/>
    </w:rPr>
  </w:style>
  <w:style w:type="character" w:styleId="SzvegtrzsbehzssalChar" w:customStyle="1">
    <w:name w:val="Szövegtörzs behúzással Char"/>
    <w:basedOn w:val="Bekezdsalapbettpusa"/>
    <w:link w:val="Szvegtrzsbehzssal"/>
    <w:rsid w:val="00632CAD"/>
    <w:rPr>
      <w:rFonts w:ascii="Times New Roman" w:cs="Times New Roman" w:eastAsia="Times New Roman" w:hAnsi="Times New Roman"/>
      <w:sz w:val="28"/>
      <w:szCs w:val="24"/>
      <w:lang w:eastAsia="ru-RU" w:val="uk-UA"/>
    </w:rPr>
  </w:style>
  <w:style w:type="paragraph" w:styleId="NormlWeb">
    <w:name w:val="Normal (Web)"/>
    <w:basedOn w:val="Norml"/>
    <w:uiPriority w:val="99"/>
    <w:unhideWhenUsed w:val="1"/>
    <w:rsid w:val="000F10CA"/>
    <w:pPr>
      <w:spacing w:after="100" w:afterAutospacing="1" w:before="100" w:beforeAutospacing="1" w:line="240" w:lineRule="auto"/>
    </w:pPr>
    <w:rPr>
      <w:rFonts w:ascii="Times New Roman" w:cs="Times New Roman" w:eastAsia="Times New Roman" w:hAnsi="Times New Roman"/>
      <w:sz w:val="24"/>
      <w:szCs w:val="24"/>
      <w:lang w:eastAsia="hu-H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kmf.uz.ua/wp-content/uploads/2019/11/Pol_akad_dobr_ZUI_2019.pdf" TargetMode="External"/><Relationship Id="rId8" Type="http://schemas.openxmlformats.org/officeDocument/2006/relationships/hyperlink" Target="http://kmf.uz.ua/wp-content/uploads/2019/11/Pol_yak_osv_ZUI_2019.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seKtq9nOTKWm+oy7Ii+Uj45bgA==">AMUW2mX6HcP0BasQ8AJhH7Qw5Pf1UiaU1KE/WUfGXZxPc9cD/0862DEdzPZpP/aSBStTFRA4ONRInqvMp8htatxjdBt5PEZiAMIu431J10Ez3iyIoj2o5Sstbt0Aq6TquMbZVWz0Mr4v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2021-08-25T14:27:00Z</dcterms:created>
  <dc:creator>tanar</dc:creator>
</cp:coreProperties>
</file>