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Закарпатський угорський інститут ім. Ференца Ракоці ІІ</w:t>
      </w:r>
    </w:p>
    <w:tbl>
      <w:tblPr>
        <w:tblStyle w:val="Table1"/>
        <w:tblW w:w="957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4"/>
        <w:gridCol w:w="1348"/>
        <w:gridCol w:w="1636"/>
        <w:gridCol w:w="1535"/>
        <w:gridCol w:w="1803"/>
        <w:gridCol w:w="1496"/>
        <w:tblGridChange w:id="0">
          <w:tblGrid>
            <w:gridCol w:w="1754"/>
            <w:gridCol w:w="1348"/>
            <w:gridCol w:w="1636"/>
            <w:gridCol w:w="1535"/>
            <w:gridCol w:w="1803"/>
            <w:gridCol w:w="1496"/>
          </w:tblGrid>
        </w:tblGridChange>
      </w:tblGrid>
      <w:tr>
        <w:trPr>
          <w:cantSplit w:val="0"/>
          <w:trHeight w:val="14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Ступінь вищої освіти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Бакалавр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навчання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навчання: інституційна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Навчальний рік/семестр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2021/2022</w:t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Силабус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6343"/>
        <w:tblGridChange w:id="0">
          <w:tblGrid>
            <w:gridCol w:w="3150"/>
            <w:gridCol w:w="634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навчальної дисципліни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Системи дистанційного навчання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Кафедра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Математики та інформатики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програма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ОПП 01 Освіта/Педагогіка, 014 «Середня освіта (Математика)», перший (бакалаврський) рівень вищої освіти, Форма навчання: інституційна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 дисципліни: вибіркова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кредитів: 4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Лекції: -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Практичні (семінарські) заняття: 30 год.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Лабораторні заняття: -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Самостійна робота: 90 год.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Викладач(і) відповідальний(і) за викладання навчальної дисципліни (імена, прізвища, наукові ступені і звання, адреса електронної пошти викладача/ів)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Берегсасі Степан Степанович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beregszaszi.istvan@kmf.org.ua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 навчальної дисципліни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 дисципліни, мета, завдання та очікувані програмні результати навчальної дисципліни, загальні та фахові компетентності, основна тематика дисципліни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Анотація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Предметом вивчення курсу є системи управління навчанням, зокрема, актуальні питання та завдання щодо їх використання у закладах освіти, сучасні тенденції розвитку програмного забезпечення для реалізації електронного навчання, огляд та аналіз сучасних веб-орієнтованих систем керування навчанням, використання програмних платформ дистанційного навчання для формування практичних навичок та здійснення наукових досліджень.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Мета: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навчальної дисципліни «Системи дистанційного навчання» має на меті ознайомлення із середовищем для розробки онлайн курсів та освітніх веб сайтів, здійснення проектування дистанційного курсу в одній із систем управління навчанням (Moodle, Google Classroom, MS Teams, Blackboard, ATutor, eFront чи ін.), а також вивчення можливостей для забезпечення повноцінної підтримки та супроводу електронного навчання.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Завдання: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Вміти використовувати прикладне програмне забезпечення для впровадження систем управління навчанням, організації змішаного навчання, аналізу й візуалізації даних;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до проектування й адміністрування інформаційних освітніх систем; аналізу та впровадження технологій дистанційного навчання;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здатність критично оцінювати і синтезувати інноваційні технології навчання, забезпечувати та контролювати якість освітнього процесу;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уміти вирішувати проблеми управління ІТ-інфраструктурою освітнього закладу, що потребує оновлення та інтеграції знань;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84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застосовувати здобутки педагогічної теорії та практики при проектуванні та реалізації навчальних/розвивальних освітніх проектів на засадах студентоцентрованого підходу.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загальні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2. Здатність вчитися і оволодівати сучасними знаннями, застосовувати знання у практичних ситуаціях.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5. Здатність здійснювати перетворення даних з різних джерел за допомогою процесів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ЗК 6 Навички використання інформаційний і комунікаційних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А2.5 здатність розвивати у учнів критичного мислення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А3.2 здатність ефективно використовувати наявні та створювати (за потреби) нові електронні (цифрові) освітні ресурси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А3.3 здатність використовувати цифрові технології в освітньому процесі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Б1.4 здатність формувати спільність учнів, у якій кожен відчуває себе її частиною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фахові (спеціальні) компетентності: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1. Здатність відтворювати, використовувати, створювати нові знання предметної галузі інформатики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10 Здатність до використання цифрових технологій наукових досліджень в галузях інформатики та математики.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ФК 11 здатність до застосування основ теорії та практики систем машинного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Програмні результати навчання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 Розуміння змісту і загальних властивостей інформаційної безпеки та правової інформації, зокрема проблем захисту даних та права інтелектуальної власності.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ПР16 Здійснювати перетворення даних з різних джерел за допомогою інформаційних процесів, використовувати цифрові технології в освітньому процесі в галузі освіти/педагогіки.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ПР17 Застосувати методологію і методику, цифрові технології наукових досліджень в галузі освіти/педагогіки, предметних спеціальностях середньої освіти-інформатиці та математиці.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тематика дисципліни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1. Системи управління навчанням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1. Системи управління навчанням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51" w:right="0" w:hanging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Системи управління навчанням (Learning Management Systems – LMS)</w:t>
            </w:r>
          </w:p>
          <w:p w:rsidR="00000000" w:rsidDel="00000000" w:rsidP="00000000" w:rsidRDefault="00000000" w:rsidRPr="00000000" w14:paraId="00000048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управління наповненням сайту (Content Management System –CMS),</w:t>
            </w:r>
          </w:p>
          <w:p w:rsidR="00000000" w:rsidDel="00000000" w:rsidP="00000000" w:rsidRDefault="00000000" w:rsidRPr="00000000" w14:paraId="00000049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Віртуальне освітнє середовище (Virtual Learning Environments – VLE)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2. Нормативно-правова база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Нормативно-правова база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Нормативно-правова база України по організації електронного (дистанційного) навчання у закладах освіти.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851" w:right="0" w:hanging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навчального процесу за допомогою систем управління навчанням.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Принципи дистанційного навчання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3. Принципи дистанційного навчання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Таксономія Блума при плануванні цілей і завдань електронного навчального курсу.</w:t>
            </w:r>
          </w:p>
          <w:p w:rsidR="00000000" w:rsidDel="00000000" w:rsidP="00000000" w:rsidRDefault="00000000" w:rsidRPr="00000000" w14:paraId="00000055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Єдина система дистанційної освіти.</w:t>
            </w:r>
          </w:p>
          <w:p w:rsidR="00000000" w:rsidDel="00000000" w:rsidP="00000000" w:rsidRDefault="00000000" w:rsidRPr="00000000" w14:paraId="00000056">
            <w:pPr>
              <w:ind w:left="842" w:hanging="8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Електронні навчальні матеріали.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Системне середовище управління навчанням.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4. Веборієнтовані системи керування навчанням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4. Веборієнтовані системи керування навчанням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993" w:hanging="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Огляд та аналіз веборієнтованих систем керування навчанням: Moodle, Google Classroom, Blackboard, ATutor, eFront.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Електронна база навчальних матеріалів курсу.</w:t>
            </w:r>
          </w:p>
          <w:p w:rsidR="00000000" w:rsidDel="00000000" w:rsidP="00000000" w:rsidRDefault="00000000" w:rsidRPr="00000000" w14:paraId="0000005E">
            <w:pPr>
              <w:ind w:left="984" w:hanging="9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Віртуальні лабораторії та особливості їх використання.</w:t>
            </w:r>
          </w:p>
          <w:p w:rsidR="00000000" w:rsidDel="00000000" w:rsidP="00000000" w:rsidRDefault="00000000" w:rsidRPr="00000000" w14:paraId="0000005F">
            <w:pPr>
              <w:ind w:left="984" w:hanging="9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Реалізація інтерактивної взаємодії у системах управління навчанням: «студент-студент», «викладач-студент», «студент-викладач» (чат, форум, блог, персональні повідомлення, опитування, коментарі, відеоконференція і т.д.).</w:t>
            </w:r>
          </w:p>
          <w:p w:rsidR="00000000" w:rsidDel="00000000" w:rsidP="00000000" w:rsidRDefault="00000000" w:rsidRPr="00000000" w14:paraId="00000060">
            <w:pPr>
              <w:ind w:left="984" w:hanging="9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Організація контролю якості у дистанційному навчанні.</w:t>
            </w:r>
          </w:p>
          <w:p w:rsidR="00000000" w:rsidDel="00000000" w:rsidP="00000000" w:rsidRDefault="00000000" w:rsidRPr="00000000" w14:paraId="00000061">
            <w:pPr>
              <w:ind w:left="984" w:hanging="9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Оцінювання навчальних досягнень здобувачів освіти у системах управління навчанням.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контролю та оцінювання результатів навчання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Підсумковий контроль – залік.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Навчальні досягнення з даної дисципліни оцінюються за модульно рейтинговою системою, за наступною таблицею: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70.0" w:type="dxa"/>
              <w:jc w:val="left"/>
              <w:tblInd w:w="250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67"/>
              <w:gridCol w:w="984"/>
              <w:gridCol w:w="1560"/>
              <w:gridCol w:w="1559"/>
              <w:tblGridChange w:id="0">
                <w:tblGrid>
                  <w:gridCol w:w="1167"/>
                  <w:gridCol w:w="984"/>
                  <w:gridCol w:w="1560"/>
                  <w:gridCol w:w="1559"/>
                </w:tblGrid>
              </w:tblGridChange>
            </w:tblGrid>
            <w:tr>
              <w:trPr>
                <w:cantSplit w:val="0"/>
                <w:trHeight w:val="415" w:hRule="atLeast"/>
                <w:tblHeader w:val="0"/>
              </w:trPr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Сума балів за всі види навчальної діяльності 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ECTS</w:t>
                  </w:r>
                </w:p>
              </w:tc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Оцінка за національною шкалою</w:t>
                  </w:r>
                </w:p>
              </w:tc>
            </w:tr>
            <w:tr>
              <w:trPr>
                <w:cantSplit w:val="0"/>
                <w:trHeight w:val="1070" w:hRule="atLeast"/>
                <w:tblHeader w:val="0"/>
              </w:trPr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line="240" w:lineRule="auto"/>
                    <w:ind w:right="-144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екзамену, курсового проекту (роботи), практики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для заліку</w:t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90 – 100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відмінно 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зараховано</w:t>
                  </w:r>
                </w:p>
              </w:tc>
            </w:tr>
            <w:tr>
              <w:trPr>
                <w:cantSplit w:val="0"/>
                <w:trHeight w:val="17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82-89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В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добре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75-81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С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5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B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64-74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C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D</w:t>
                  </w:r>
                </w:p>
              </w:tc>
              <w:tc>
                <w:tcPr>
                  <w:vMerge w:val="restart"/>
                  <w:vAlign w:val="center"/>
                </w:tcPr>
                <w:p w:rsidR="00000000" w:rsidDel="00000000" w:rsidP="00000000" w:rsidRDefault="00000000" w:rsidRPr="00000000" w14:paraId="0000007D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задовільно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66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F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60-63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0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Е </w:t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center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507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35-59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FX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можливістю повторного складання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можливістю повторного складання</w:t>
                  </w:r>
                </w:p>
              </w:tc>
            </w:tr>
            <w:tr>
              <w:trPr>
                <w:cantSplit w:val="0"/>
                <w:trHeight w:val="65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ind w:left="180" w:firstLine="0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0-34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8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0"/>
                      <w:szCs w:val="20"/>
                      <w:rtl w:val="0"/>
                    </w:rPr>
                    <w:t xml:space="preserve">F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незадовільно з обов’язковим повторним вивченням дисципліни 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не зараховано з обов’язковим повторним вивченням дисципліни </w:t>
                  </w:r>
                </w:p>
              </w:tc>
            </w:tr>
          </w:tbl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Важливою передумовою допуску до заліку є відпрацювання пропущених лекційних занять.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 проводиться, як правило, шляхом письмового виконання індивідуальних завдань із подальшою перевіркою їх викладачем та оголошення оцінки. У процесі оцінювання навчальних досягнень бакалаврантів з курсу «Системи дистанційного навчання» застосовуються такі методи: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усного контролю: індивідуальне опитування, фронтальне опитування, співбесіда;</w:t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методи письмового контролю: розрахункова контрольна робота, модульна контрольна робота, самооцінка, самоаналіз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Інша інформація про дисципліну (технічне та програмне забезпечення дисципліни тощо)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Політика щодо академічної доброчесності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Усі види письмових робіт перевіряються на наявність плагіату і є такими, що виконані при наявності не менше 80% оригінальності авторського тексту. Списування під час виконання письмових контрольних видів робіт заборонено. Користуватися мобільними пристроями під час проведення різних видів контролю успішності, дозволяється лише з дозволу викладача. 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академічну доброчесність в ЗУІ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Положення про систему внутрішнього забезпечення якості освіти в ЗУІ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Технічне та програмне забезпечення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Викладання навчальної дисципліни «Системи дистанційного навчання» відбувається на основі таких складових методичного забезпечення: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друковані джерела, що відображають зміст науки;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електронні джерела, що відображають зміст науки,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практичні завдання.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мультимедійні презентації до навчальних занять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ymbol" w:cs="Symbol" w:eastAsia="Symbol" w:hAnsi="Symbol"/>
                <w:sz w:val="24"/>
                <w:szCs w:val="24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навчальні відеофільми, відеофрагменти лекцій, практичних, визовних заходів у ЗВО.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Рекомендовані джерела (основна та допоміжна література), електронні інформаційні ресурси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Василів В., Костюкевич Р. Особливості управління проектом побудови інтегрованої системи управління навчальним процесом у НУВГП. Нова педагогічна думка: Науковометодичний журнал. Рівне, 2012. № 1. С. 231-237 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Fendo O., Pudchenko S. (2018). Virtual laboratories as innovative educational Technologies in Higher Educational Institutions. Intercultural Communication, ISSN 2451-0998, vol. 2(5) 2018, pp. 175 – 190. DOI: 10.13166/inco/94707 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Мошкина Е., Смолянинова О. Модель организации учебного процесса-заочников, основанная на использовании электронной системы управления обучением Moodle. Дистанционное и виртуальное обучение. 2012. № 11. C. 37-45 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Internet és multimédia a távoktatásban eduline.hu/segedanyagtalalatok/letolt/3850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Lengyel Zsuzsanna Mária E-learning: tanulás a világhálón keresztül, Debrecen, 2007.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E-learning keretrendszerek használatának lehetősége az iskolákban. https://www.oktatas.hu/pub_bin/dload/kozoktatas/pok/ Budapest/szaktanacsadoi_anyagok/ informatika_lms_rendszerek.pdf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Веб-сторінка з навчальними матеріалами ЗУІ: http://okt.kmf.uz.ua/dw/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Сайт практичного дистанційного навчання ЗУІ: http://ml.kmf.uz.ua/moodle/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"/>
              </w:numPr>
              <w:shd w:fill="ffffff" w:val="clear"/>
              <w:tabs>
                <w:tab w:val="left" w:pos="426"/>
              </w:tabs>
              <w:ind w:left="426" w:hanging="4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Внутрішня веб-сторінка ЗУІ: http://kmtfm/</w:t>
            </w:r>
          </w:p>
          <w:p w:rsidR="00000000" w:rsidDel="00000000" w:rsidP="00000000" w:rsidRDefault="00000000" w:rsidRPr="00000000" w14:paraId="000000A6">
            <w:pPr>
              <w:ind w:left="4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56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ЗАТВЕРДЖЕНО</w:t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Вченою радою ЗУІ</w:t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Протокол № „9” від „23” грудня 2020  р.</w:t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Ф-ДК-РП1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fej">
    <w:name w:val="header"/>
    <w:basedOn w:val="Norml"/>
    <w:link w:val="lfej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 w:val="1"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 w:val="1"/>
    <w:rsid w:val="00A960FB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A960FB"/>
    <w:rPr>
      <w:color w:val="0563c1" w:themeColor="hyperlink"/>
      <w:u w:val="single"/>
    </w:rPr>
  </w:style>
  <w:style w:type="paragraph" w:styleId="Default" w:customStyle="1">
    <w:name w:val="Default"/>
    <w:rsid w:val="007363DB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u-HU"/>
    </w:rPr>
  </w:style>
  <w:style w:type="character" w:styleId="Kiemels">
    <w:name w:val="Emphasis"/>
    <w:uiPriority w:val="20"/>
    <w:qFormat w:val="1"/>
    <w:rsid w:val="0003550C"/>
    <w:rPr>
      <w:i w:val="1"/>
      <w:iCs w:val="1"/>
    </w:rPr>
  </w:style>
  <w:style w:type="paragraph" w:styleId="Szvegtrzsbehzssal">
    <w:name w:val="Body Text Indent"/>
    <w:basedOn w:val="Norml"/>
    <w:link w:val="SzvegtrzsbehzssalChar"/>
    <w:rsid w:val="00632CAD"/>
    <w:pPr>
      <w:spacing w:after="0" w:line="240" w:lineRule="auto"/>
      <w:ind w:firstLine="540"/>
    </w:pPr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character" w:styleId="SzvegtrzsbehzssalChar" w:customStyle="1">
    <w:name w:val="Szövegtörzs behúzással Char"/>
    <w:basedOn w:val="Bekezdsalapbettpusa"/>
    <w:link w:val="Szvegtrzsbehzssal"/>
    <w:rsid w:val="00632CAD"/>
    <w:rPr>
      <w:rFonts w:ascii="Times New Roman" w:cs="Times New Roman" w:eastAsia="Times New Roman" w:hAnsi="Times New Roman"/>
      <w:sz w:val="28"/>
      <w:szCs w:val="24"/>
      <w:lang w:eastAsia="ru-RU" w:val="uk-UA"/>
    </w:rPr>
  </w:style>
  <w:style w:type="paragraph" w:styleId="NormlWeb">
    <w:name w:val="Normal (Web)"/>
    <w:basedOn w:val="Norml"/>
    <w:uiPriority w:val="99"/>
    <w:semiHidden w:val="1"/>
    <w:unhideWhenUsed w:val="1"/>
    <w:rsid w:val="00B475C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kmf.uz.ua/wp-content/uploads/2019/11/Pol_akad_dobr_ZUI_2019.pdf" TargetMode="External"/><Relationship Id="rId8" Type="http://schemas.openxmlformats.org/officeDocument/2006/relationships/hyperlink" Target="http://kmf.uz.ua/wp-content/uploads/2019/11/Pol_yak_osv_ZUI_2019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xHNzZpIURApIWKkJSvNiVzzpA==">AMUW2mWjBu03ZV0SVUliSV/4nsnxJIag3GG3vw94pcdeWA3cyICiPlVD1o4Q9PhUzBa7o3cVuvH0KFXOwqXGgmpPanQF9MaQqub86goQVcTLg65qvRUg9a3b4zkRr9Ljp8pqdnojICO95t7uUzvcmb3sYAfijsljC1iEEdGQza6i7yPVzWC9k6g=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2021-08-25T14:28:00Z</dcterms:created>
  <dc:creator>tanar</dc:creator>
</cp:coreProperties>
</file>