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955DFA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5DFA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641"/>
        <w:gridCol w:w="1877"/>
        <w:gridCol w:w="1296"/>
        <w:gridCol w:w="1159"/>
        <w:gridCol w:w="1677"/>
        <w:gridCol w:w="1922"/>
      </w:tblGrid>
      <w:tr w:rsidR="002F1AD2" w:rsidRPr="00955DFA" w:rsidTr="008C0C77">
        <w:trPr>
          <w:trHeight w:val="1453"/>
        </w:trPr>
        <w:tc>
          <w:tcPr>
            <w:tcW w:w="1641" w:type="dxa"/>
          </w:tcPr>
          <w:p w:rsidR="00A26453" w:rsidRPr="00955DFA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955DFA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A26453" w:rsidRPr="00955DFA" w:rsidRDefault="00EC602F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перший (бакалаврський)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та </w:t>
            </w:r>
            <w:r w:rsidRPr="00686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другий (магістерський) рівень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96" w:type="dxa"/>
          </w:tcPr>
          <w:p w:rsidR="00A26453" w:rsidRPr="00955DF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159" w:type="dxa"/>
          </w:tcPr>
          <w:p w:rsidR="00A26453" w:rsidRPr="00955DFA" w:rsidRDefault="00955DFA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Денна 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 форма навчання</w:t>
            </w:r>
          </w:p>
        </w:tc>
        <w:tc>
          <w:tcPr>
            <w:tcW w:w="1677" w:type="dxa"/>
          </w:tcPr>
          <w:p w:rsidR="00A26453" w:rsidRPr="00955DF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922" w:type="dxa"/>
          </w:tcPr>
          <w:p w:rsidR="00EC602F" w:rsidRDefault="00EC602F" w:rsidP="00EC6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навчальний 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A26453" w:rsidRPr="00955DFA" w:rsidRDefault="00EC602F" w:rsidP="00EC6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EC60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есняний </w:t>
            </w:r>
            <w:r w:rsidRPr="00FE54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семестр</w:t>
            </w:r>
          </w:p>
        </w:tc>
      </w:tr>
    </w:tbl>
    <w:p w:rsidR="00526D7D" w:rsidRPr="00955DFA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955DFA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955DF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955DF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DF1579" w:rsidRDefault="00FC0AFA" w:rsidP="00DF1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Моніторинг оточуючого середовища</w:t>
            </w:r>
          </w:p>
        </w:tc>
      </w:tr>
      <w:tr w:rsidR="002F1AD2" w:rsidRPr="00955DFA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955DF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11202D" w:rsidRDefault="00955DFA" w:rsidP="00DF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біології та хімії</w:t>
            </w:r>
          </w:p>
        </w:tc>
      </w:tr>
      <w:tr w:rsidR="002F1AD2" w:rsidRPr="00955DFA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955DF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6343" w:type="dxa"/>
          </w:tcPr>
          <w:p w:rsidR="00392D23" w:rsidRPr="0011202D" w:rsidRDefault="00392D23" w:rsidP="00DF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955DFA" w:rsidTr="00B46DB5">
        <w:tc>
          <w:tcPr>
            <w:tcW w:w="3150" w:type="dxa"/>
            <w:shd w:val="clear" w:color="auto" w:fill="D9D9D9" w:themeFill="background1" w:themeFillShade="D9"/>
          </w:tcPr>
          <w:p w:rsidR="00EF6F13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</w:t>
            </w:r>
          </w:p>
          <w:p w:rsidR="00EF6F13" w:rsidRDefault="00EF6F13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E237EC"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 кредитів</w:t>
            </w:r>
          </w:p>
          <w:p w:rsidR="00EF6F13" w:rsidRDefault="00EF6F13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ількість </w:t>
            </w:r>
            <w:r w:rsidR="00E47EA8"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  <w:p w:rsidR="00EF6F13" w:rsidRDefault="00E47EA8" w:rsidP="00BC458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  <w:p w:rsidR="00EF6F13" w:rsidRDefault="00FC0AFA" w:rsidP="00BC458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120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202D"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</w:t>
            </w:r>
          </w:p>
          <w:p w:rsidR="00E47EA8" w:rsidRPr="00955DFA" w:rsidRDefault="00E47EA8" w:rsidP="00BC458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6343" w:type="dxa"/>
          </w:tcPr>
          <w:p w:rsidR="00E237EC" w:rsidRPr="0011202D" w:rsidRDefault="00EF6F13" w:rsidP="00DF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237EC"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</w:p>
          <w:p w:rsidR="007E3FBF" w:rsidRPr="0011202D" w:rsidRDefault="00FC0AFA" w:rsidP="00DF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11202D" w:rsidRPr="0011202D" w:rsidRDefault="0011202D" w:rsidP="00DF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0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05681" w:rsidRPr="0011202D" w:rsidRDefault="00CC35A3" w:rsidP="00DF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02D"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11202D" w:rsidRPr="0011202D" w:rsidRDefault="00FC0AFA" w:rsidP="00DF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202D" w:rsidRPr="0011202D" w:rsidRDefault="00CC35A3" w:rsidP="00CC3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bookmarkStart w:id="0" w:name="_GoBack"/>
        <w:bookmarkEnd w:id="0"/>
      </w:tr>
      <w:tr w:rsidR="00362FE8" w:rsidRPr="00955DFA" w:rsidTr="00B46DB5">
        <w:tc>
          <w:tcPr>
            <w:tcW w:w="3150" w:type="dxa"/>
            <w:shd w:val="clear" w:color="auto" w:fill="D9D9D9" w:themeFill="background1" w:themeFillShade="D9"/>
          </w:tcPr>
          <w:p w:rsidR="00362FE8" w:rsidRPr="00955DFA" w:rsidRDefault="00362FE8" w:rsidP="00362F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(і), </w:t>
            </w:r>
            <w:r w:rsidRPr="008C0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F42F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8C0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електронної пошти</w:t>
            </w:r>
          </w:p>
        </w:tc>
        <w:tc>
          <w:tcPr>
            <w:tcW w:w="6343" w:type="dxa"/>
          </w:tcPr>
          <w:p w:rsidR="00362FE8" w:rsidRDefault="00362FE8" w:rsidP="00362F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Чома Золтан Золтанович,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доцент</w:t>
            </w:r>
          </w:p>
          <w:p w:rsidR="00362FE8" w:rsidRDefault="00CC35A3" w:rsidP="00362FE8">
            <w:pPr>
              <w:rPr>
                <w:rStyle w:val="Hiperhivatkozs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362FE8" w:rsidRPr="00C376A1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csoma.zoltan@kmf.org.ua</w:t>
              </w:r>
            </w:hyperlink>
          </w:p>
          <w:p w:rsidR="00362FE8" w:rsidRDefault="00362FE8" w:rsidP="0036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Чома Жужанна Йосипівна, викладач</w:t>
            </w:r>
          </w:p>
          <w:p w:rsidR="00362FE8" w:rsidRPr="00955DFA" w:rsidRDefault="00CC35A3" w:rsidP="00362FE8">
            <w:pPr>
              <w:rPr>
                <w:rFonts w:ascii="Times New Roman" w:hAnsi="Times New Roman" w:cs="Times New Roman"/>
              </w:rPr>
            </w:pPr>
            <w:hyperlink r:id="rId9" w:history="1">
              <w:r w:rsidR="00362FE8" w:rsidRPr="00341EC6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csoma.zsuzsanna@kmf.org.ua</w:t>
              </w:r>
            </w:hyperlink>
          </w:p>
        </w:tc>
      </w:tr>
      <w:tr w:rsidR="00362FE8" w:rsidRPr="00955DFA" w:rsidTr="00AC1AC7">
        <w:tc>
          <w:tcPr>
            <w:tcW w:w="3150" w:type="dxa"/>
            <w:shd w:val="clear" w:color="auto" w:fill="D9D9D9" w:themeFill="background1" w:themeFillShade="D9"/>
          </w:tcPr>
          <w:p w:rsidR="00362FE8" w:rsidRPr="00955DFA" w:rsidRDefault="00362FE8" w:rsidP="00362F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 навчальної дисципліни</w:t>
            </w:r>
            <w:bookmarkEnd w:id="1"/>
          </w:p>
        </w:tc>
        <w:tc>
          <w:tcPr>
            <w:tcW w:w="6343" w:type="dxa"/>
            <w:vAlign w:val="center"/>
          </w:tcPr>
          <w:p w:rsidR="00362FE8" w:rsidRPr="009A4419" w:rsidRDefault="00362FE8" w:rsidP="00362F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6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знання з предметів  середньої освіти</w:t>
            </w:r>
          </w:p>
        </w:tc>
      </w:tr>
      <w:tr w:rsidR="00362FE8" w:rsidRPr="00955DFA" w:rsidTr="00CF191B">
        <w:tc>
          <w:tcPr>
            <w:tcW w:w="3150" w:type="dxa"/>
            <w:shd w:val="clear" w:color="auto" w:fill="D9D9D9" w:themeFill="background1" w:themeFillShade="D9"/>
          </w:tcPr>
          <w:p w:rsidR="00362FE8" w:rsidRPr="00955DFA" w:rsidRDefault="00362FE8" w:rsidP="00362F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</w:t>
            </w:r>
          </w:p>
        </w:tc>
        <w:tc>
          <w:tcPr>
            <w:tcW w:w="6343" w:type="dxa"/>
          </w:tcPr>
          <w:p w:rsidR="00362FE8" w:rsidRDefault="00362FE8" w:rsidP="00362F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навчальної дисципліни</w:t>
            </w:r>
            <w:r w:rsidRPr="00CD51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формування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здобувачів освіти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теоретичних знань та практичних навичок у галузі одержання інформації щодо поточного стану різних компонентів довкілля.</w:t>
            </w:r>
          </w:p>
          <w:p w:rsidR="00362FE8" w:rsidRDefault="00362FE8" w:rsidP="00362F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навчальної дисципліни</w:t>
            </w:r>
            <w:r w:rsidRPr="00CD51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показати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моніторингу довкілля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оволодіти основними положеннями та принципами організаційно-структурних рішень моніторингу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засвоїти критерії оцінки стану навколишнього середовища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сформувати здатність до самостійно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ї оцінки стану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повітря, поверхневих та підземних вод, ґрунтів.</w:t>
            </w:r>
          </w:p>
          <w:p w:rsidR="00362FE8" w:rsidRDefault="00362FE8" w:rsidP="00362F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результаті вивчення навчальної дисципліни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здобувач освіти </w:t>
            </w:r>
            <w:r w:rsidRPr="00CD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повинен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мати наступні компетентності:</w:t>
            </w:r>
          </w:p>
          <w:p w:rsidR="00362FE8" w:rsidRPr="00CD512E" w:rsidRDefault="00362FE8" w:rsidP="00362F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CD51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предмет, об’єкт, структуру моніторингу довкілля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основні завдання моніторингу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хімічного складу природних об’єктів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методичне, метрологічне та технічне забезпечення моніторингу атмосферного повітря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природних вод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ґрунтів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критерії та оцінки стану природних об’єктів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забруднювачів навколишнього середовища, їх трансформацію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основні методи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0245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прилади та обладнання контролю об’єктів довкілля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62FE8" w:rsidRDefault="00362FE8" w:rsidP="00362F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02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умити: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B1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розкрити основні поняття та терміни моніторингу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3B1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сформулювати програму спостережень об’єктів довкілля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3B1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визначити методики спостережень атмосферного повітря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3B1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природних вод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3B1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ґрунтів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3B1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проводити хімічний аналіз, використовувати прилади для вимірювань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3B1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оцінювати </w:t>
            </w:r>
            <w:r w:rsidRPr="003B1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фактичний стан природних об'єктів за результатами контролю та аналізу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3B1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робити висновки щодо тенденцій їх змін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3B17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обробляти та документувати інформацію моніторингу.</w:t>
            </w:r>
          </w:p>
          <w:p w:rsidR="00362FE8" w:rsidRPr="00012547" w:rsidRDefault="00362FE8" w:rsidP="00362F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25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</w:p>
          <w:p w:rsidR="00362FE8" w:rsidRPr="00012547" w:rsidRDefault="00362FE8" w:rsidP="00362F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547">
              <w:rPr>
                <w:rFonts w:ascii="Times New Roman" w:hAnsi="Times New Roman" w:cs="Times New Roman"/>
                <w:sz w:val="24"/>
                <w:lang w:val="uk-UA"/>
              </w:rPr>
              <w:t>Поняття довкілля. Характеристика та особливості стану об’єктів навколишнього середовища.</w:t>
            </w:r>
          </w:p>
          <w:p w:rsidR="00362FE8" w:rsidRPr="00012547" w:rsidRDefault="00362FE8" w:rsidP="00362FE8">
            <w:pPr>
              <w:rPr>
                <w:rFonts w:ascii="Times New Roman" w:hAnsi="Times New Roman" w:cs="Times New Roman"/>
                <w:noProof/>
                <w:sz w:val="24"/>
                <w:lang w:val="uk-UA"/>
              </w:rPr>
            </w:pPr>
            <w:r w:rsidRPr="00012547">
              <w:rPr>
                <w:rFonts w:ascii="Times New Roman" w:hAnsi="Times New Roman" w:cs="Times New Roman"/>
                <w:sz w:val="24"/>
                <w:lang w:val="uk-UA"/>
              </w:rPr>
              <w:t>Наукові основи системи глобального</w:t>
            </w:r>
            <w:r w:rsidRPr="00012547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012547">
              <w:rPr>
                <w:rFonts w:ascii="Times New Roman" w:hAnsi="Times New Roman" w:cs="Times New Roman"/>
                <w:noProof/>
                <w:sz w:val="24"/>
                <w:lang w:val="uk-UA"/>
              </w:rPr>
              <w:t xml:space="preserve">і регіонального </w:t>
            </w:r>
            <w:r w:rsidRPr="00012547">
              <w:rPr>
                <w:rFonts w:ascii="Times New Roman" w:hAnsi="Times New Roman" w:cs="Times New Roman"/>
                <w:noProof/>
                <w:sz w:val="24"/>
              </w:rPr>
              <w:t>моніторингу навколишнього середовища</w:t>
            </w:r>
            <w:r>
              <w:rPr>
                <w:rFonts w:ascii="Times New Roman" w:hAnsi="Times New Roman" w:cs="Times New Roman"/>
                <w:noProof/>
                <w:sz w:val="24"/>
                <w:lang w:val="uk-UA"/>
              </w:rPr>
              <w:t>.</w:t>
            </w:r>
          </w:p>
          <w:p w:rsidR="00362FE8" w:rsidRPr="00012547" w:rsidRDefault="00362FE8" w:rsidP="00362F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547">
              <w:rPr>
                <w:rFonts w:ascii="Times New Roman" w:hAnsi="Times New Roman" w:cs="Times New Roman"/>
                <w:sz w:val="24"/>
                <w:lang w:val="uk-UA"/>
              </w:rPr>
              <w:t>Об’єкти моніторингу. Методи і методики вимірювання складу і властивостей об’єктів довкілля.</w:t>
            </w:r>
          </w:p>
          <w:p w:rsidR="00362FE8" w:rsidRPr="00012547" w:rsidRDefault="00362FE8" w:rsidP="00362F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12547">
              <w:rPr>
                <w:rFonts w:ascii="Times New Roman" w:hAnsi="Times New Roman" w:cs="Times New Roman"/>
                <w:sz w:val="24"/>
                <w:lang w:val="uk-UA"/>
              </w:rPr>
              <w:t>Моніторинг повітря. Прилади та обладнання для отримання інформації про стан повітря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362FE8" w:rsidRPr="00CD512E" w:rsidRDefault="00362FE8" w:rsidP="00362F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547">
              <w:rPr>
                <w:rFonts w:ascii="Times New Roman" w:hAnsi="Times New Roman" w:cs="Times New Roman"/>
                <w:bCs/>
                <w:sz w:val="24"/>
                <w:lang w:val="uk-UA"/>
              </w:rPr>
              <w:t>Моніторинг поверхневих і підземних вод. Особливості моніторингу ґрунтів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</w:tr>
      <w:tr w:rsidR="00362FE8" w:rsidRPr="00955DFA" w:rsidTr="00AC1AC7">
        <w:tc>
          <w:tcPr>
            <w:tcW w:w="3150" w:type="dxa"/>
            <w:shd w:val="clear" w:color="auto" w:fill="D9D9D9" w:themeFill="background1" w:themeFillShade="D9"/>
          </w:tcPr>
          <w:p w:rsidR="00362FE8" w:rsidRPr="00955DFA" w:rsidRDefault="00362FE8" w:rsidP="00362F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  <w:vAlign w:val="center"/>
          </w:tcPr>
          <w:p w:rsidR="00362FE8" w:rsidRPr="00BE3A0B" w:rsidRDefault="00362FE8" w:rsidP="004C528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A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Форма підсумкового контролю успішності навчання </w:t>
            </w:r>
            <w:r w:rsidRPr="00BE3A0B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є 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залік</w:t>
            </w:r>
            <w:r w:rsidRPr="00BE3A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62FE8" w:rsidRPr="00BE3A0B" w:rsidRDefault="00362FE8" w:rsidP="004C5281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Поточний контроль проводиться на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практичних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 заняттях.</w:t>
            </w:r>
          </w:p>
          <w:p w:rsidR="00362FE8" w:rsidRPr="004C5281" w:rsidRDefault="00362FE8" w:rsidP="004C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балів: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практичні роботи 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60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 балів,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  <w:r w:rsidR="004C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FE8" w:rsidRPr="00BE3A0B" w:rsidRDefault="00362FE8" w:rsidP="004C528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робіт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обов’язковим.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 Пропущенні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практичні </w:t>
            </w: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>няття здобувач освіти має відпрацювати в індивідуальному порядку.</w:t>
            </w:r>
          </w:p>
          <w:p w:rsidR="00362FE8" w:rsidRPr="009A4419" w:rsidRDefault="00362FE8" w:rsidP="004C528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Передумовою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заліку 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є виконання всіх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практичних 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робіт. </w:t>
            </w:r>
            <w:r w:rsidRPr="00BE3A0B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Вимогою до рівня засвоєння навчального матеріалу є щонайменше задовільні оцінки за 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практичні 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362FE8" w:rsidRPr="00955DFA" w:rsidTr="00B66B90">
        <w:tc>
          <w:tcPr>
            <w:tcW w:w="3150" w:type="dxa"/>
            <w:shd w:val="clear" w:color="auto" w:fill="D9D9D9" w:themeFill="background1" w:themeFillShade="D9"/>
          </w:tcPr>
          <w:p w:rsidR="00362FE8" w:rsidRPr="00955DFA" w:rsidRDefault="00362FE8" w:rsidP="00362F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Інша інформація про дисципліну (</w:t>
            </w:r>
            <w:bookmarkEnd w:id="3"/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362FE8" w:rsidRPr="00B66B90" w:rsidRDefault="00362FE8" w:rsidP="00362F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6B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Викладання навчальної дисципліні забезпечене методичними матеріалами та технічними засобами.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Практичні </w:t>
            </w:r>
            <w:r w:rsidRPr="00B66B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заняття проводяться в обладнаних згідно вимог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аудиторіях та </w:t>
            </w:r>
            <w:r w:rsidRPr="00B66B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лабораторіях.</w:t>
            </w:r>
          </w:p>
        </w:tc>
      </w:tr>
      <w:tr w:rsidR="00362FE8" w:rsidRPr="00955DFA" w:rsidTr="00EE7548">
        <w:tc>
          <w:tcPr>
            <w:tcW w:w="3150" w:type="dxa"/>
            <w:shd w:val="clear" w:color="auto" w:fill="D9D9D9" w:themeFill="background1" w:themeFillShade="D9"/>
          </w:tcPr>
          <w:p w:rsidR="00362FE8" w:rsidRPr="00955DFA" w:rsidRDefault="00362FE8" w:rsidP="00362F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:rsidR="00362FE8" w:rsidRPr="00A023D6" w:rsidRDefault="00362FE8" w:rsidP="0036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Скиба Ю.А., Лазебна О.М. Моніторинг довкілля: практичний курс: Навчальний посібник</w:t>
            </w:r>
            <w:r w:rsidRPr="00A02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Kиїв: Kaревала, 2013</w:t>
            </w:r>
          </w:p>
          <w:p w:rsidR="00362FE8" w:rsidRPr="00A023D6" w:rsidRDefault="00362FE8" w:rsidP="00362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M. O</w:t>
            </w:r>
            <w:r w:rsidRPr="00A023D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Кнорр Н.В</w:t>
            </w:r>
            <w:r w:rsidRPr="00A023D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Пилипенко Ю.В</w:t>
            </w:r>
            <w:r w:rsidRPr="00A0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довкілля: практикум</w:t>
            </w:r>
            <w:r w:rsidRPr="00A0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посібник</w:t>
            </w: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Kиїв: Koндор, 2012</w:t>
            </w:r>
          </w:p>
          <w:p w:rsidR="00362FE8" w:rsidRPr="00A023D6" w:rsidRDefault="00362FE8" w:rsidP="00362FE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Domokos Endre, Kovács József, Tóthné File Edina</w:t>
            </w:r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: </w:t>
            </w:r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Környezetvédelmi monitoring</w:t>
            </w:r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. Pannon Egyetem - Környezetmérnöki Intézet, </w:t>
            </w:r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2014</w:t>
            </w:r>
          </w:p>
          <w:p w:rsidR="00362FE8" w:rsidRPr="009A4419" w:rsidRDefault="00362FE8" w:rsidP="00362F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https://www.tankonyvtar.hu/hu/tartalom/tamop412A/2011-0089_01_kornyezetvedelmimonitoring/ch02.html</w:t>
            </w:r>
          </w:p>
        </w:tc>
      </w:tr>
    </w:tbl>
    <w:p w:rsidR="00392D23" w:rsidRPr="00955DFA" w:rsidRDefault="00392D23" w:rsidP="00E93013">
      <w:pPr>
        <w:rPr>
          <w:rFonts w:ascii="Times New Roman" w:hAnsi="Times New Roman" w:cs="Times New Roman"/>
          <w:lang w:val="uk-UA"/>
        </w:rPr>
      </w:pPr>
    </w:p>
    <w:sectPr w:rsidR="00392D23" w:rsidRPr="00955DFA" w:rsidSect="00DF15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63" w:rsidRDefault="009E0463" w:rsidP="0005502E">
      <w:pPr>
        <w:spacing w:after="0" w:line="240" w:lineRule="auto"/>
      </w:pPr>
      <w:r>
        <w:separator/>
      </w:r>
    </w:p>
  </w:endnote>
  <w:endnote w:type="continuationSeparator" w:id="0">
    <w:p w:rsidR="009E0463" w:rsidRDefault="009E0463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63" w:rsidRDefault="009E0463" w:rsidP="0005502E">
      <w:pPr>
        <w:spacing w:after="0" w:line="240" w:lineRule="auto"/>
      </w:pPr>
      <w:r>
        <w:separator/>
      </w:r>
    </w:p>
  </w:footnote>
  <w:footnote w:type="continuationSeparator" w:id="0">
    <w:p w:rsidR="009E0463" w:rsidRDefault="009E0463" w:rsidP="0005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A29"/>
    <w:multiLevelType w:val="hybridMultilevel"/>
    <w:tmpl w:val="EE50F7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2547"/>
    <w:rsid w:val="000245D6"/>
    <w:rsid w:val="00032B36"/>
    <w:rsid w:val="0005502E"/>
    <w:rsid w:val="000E504B"/>
    <w:rsid w:val="0011202D"/>
    <w:rsid w:val="00130F39"/>
    <w:rsid w:val="001425FD"/>
    <w:rsid w:val="00184CFD"/>
    <w:rsid w:val="0020132D"/>
    <w:rsid w:val="00267430"/>
    <w:rsid w:val="0028088A"/>
    <w:rsid w:val="00295510"/>
    <w:rsid w:val="002C40AD"/>
    <w:rsid w:val="002F1AD2"/>
    <w:rsid w:val="00362FE8"/>
    <w:rsid w:val="00386C8B"/>
    <w:rsid w:val="00392D23"/>
    <w:rsid w:val="003B171F"/>
    <w:rsid w:val="003C4985"/>
    <w:rsid w:val="003D470F"/>
    <w:rsid w:val="00402BCE"/>
    <w:rsid w:val="0041052C"/>
    <w:rsid w:val="0042025E"/>
    <w:rsid w:val="004A0040"/>
    <w:rsid w:val="004A3887"/>
    <w:rsid w:val="004A6300"/>
    <w:rsid w:val="004B7818"/>
    <w:rsid w:val="004C5281"/>
    <w:rsid w:val="004E154C"/>
    <w:rsid w:val="004E2C2F"/>
    <w:rsid w:val="0051696E"/>
    <w:rsid w:val="00526D7D"/>
    <w:rsid w:val="00586DFA"/>
    <w:rsid w:val="005B550B"/>
    <w:rsid w:val="005D33B8"/>
    <w:rsid w:val="005F5C2C"/>
    <w:rsid w:val="006618B7"/>
    <w:rsid w:val="006A1136"/>
    <w:rsid w:val="00700829"/>
    <w:rsid w:val="00705681"/>
    <w:rsid w:val="00732CE6"/>
    <w:rsid w:val="00793B7A"/>
    <w:rsid w:val="0079790E"/>
    <w:rsid w:val="007B1F80"/>
    <w:rsid w:val="007B58B7"/>
    <w:rsid w:val="007C6957"/>
    <w:rsid w:val="007E3FBF"/>
    <w:rsid w:val="008842E1"/>
    <w:rsid w:val="00891939"/>
    <w:rsid w:val="008A059F"/>
    <w:rsid w:val="008A1B3F"/>
    <w:rsid w:val="008B5A5C"/>
    <w:rsid w:val="008B5B21"/>
    <w:rsid w:val="008C0C77"/>
    <w:rsid w:val="008F1408"/>
    <w:rsid w:val="00902A07"/>
    <w:rsid w:val="00955DFA"/>
    <w:rsid w:val="00994568"/>
    <w:rsid w:val="009E0463"/>
    <w:rsid w:val="00A01CF0"/>
    <w:rsid w:val="00A023D6"/>
    <w:rsid w:val="00A1686B"/>
    <w:rsid w:val="00A25714"/>
    <w:rsid w:val="00A26453"/>
    <w:rsid w:val="00A434B2"/>
    <w:rsid w:val="00A541BB"/>
    <w:rsid w:val="00A71265"/>
    <w:rsid w:val="00A72D68"/>
    <w:rsid w:val="00A82AA5"/>
    <w:rsid w:val="00AC4C79"/>
    <w:rsid w:val="00B104E2"/>
    <w:rsid w:val="00B30933"/>
    <w:rsid w:val="00B43B5D"/>
    <w:rsid w:val="00B46DB5"/>
    <w:rsid w:val="00B64A4D"/>
    <w:rsid w:val="00B66860"/>
    <w:rsid w:val="00B66B90"/>
    <w:rsid w:val="00BC4583"/>
    <w:rsid w:val="00BE3A0B"/>
    <w:rsid w:val="00BE7C9F"/>
    <w:rsid w:val="00C237FB"/>
    <w:rsid w:val="00C83878"/>
    <w:rsid w:val="00C9371D"/>
    <w:rsid w:val="00C94731"/>
    <w:rsid w:val="00CC35A3"/>
    <w:rsid w:val="00CD512E"/>
    <w:rsid w:val="00CF191B"/>
    <w:rsid w:val="00D800AF"/>
    <w:rsid w:val="00DA3F3F"/>
    <w:rsid w:val="00DC1BCD"/>
    <w:rsid w:val="00DF1579"/>
    <w:rsid w:val="00E237EC"/>
    <w:rsid w:val="00E23B1A"/>
    <w:rsid w:val="00E271EA"/>
    <w:rsid w:val="00E41F89"/>
    <w:rsid w:val="00E47EA8"/>
    <w:rsid w:val="00E827FD"/>
    <w:rsid w:val="00E93013"/>
    <w:rsid w:val="00EC602F"/>
    <w:rsid w:val="00ED65E5"/>
    <w:rsid w:val="00EE7548"/>
    <w:rsid w:val="00EF6EBF"/>
    <w:rsid w:val="00EF6F13"/>
    <w:rsid w:val="00F97CF8"/>
    <w:rsid w:val="00FC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081FF"/>
  <w15:docId w15:val="{49FDD5CF-C368-4D29-BB31-2BB190D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8C0C7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C0C7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E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ma.zoltan@kmf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oma.zsuzsanna@kmf.org.u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8691-4E33-4479-A416-FF207022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14</cp:revision>
  <dcterms:created xsi:type="dcterms:W3CDTF">2021-04-11T18:40:00Z</dcterms:created>
  <dcterms:modified xsi:type="dcterms:W3CDTF">2021-08-31T13:32:00Z</dcterms:modified>
</cp:coreProperties>
</file>